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8A" w:rsidRPr="004F647B" w:rsidRDefault="00513FCF" w:rsidP="00FC448A">
      <w:pPr>
        <w:spacing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IQ"/>
        </w:rPr>
      </w:pPr>
      <w:r w:rsidRPr="004F647B">
        <w:rPr>
          <w:rFonts w:ascii="Traditional Arabic" w:hAnsi="Traditional Arabic" w:cs="Traditional Arabic"/>
          <w:sz w:val="28"/>
          <w:szCs w:val="28"/>
          <w:rtl/>
          <w:lang w:bidi="ar-IQ"/>
        </w:rPr>
        <w:t>السيرة الذاتية</w:t>
      </w:r>
      <w:r w:rsidR="00FE717E" w:rsidRPr="004F647B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 xml:space="preserve"> </w:t>
      </w:r>
      <w:r w:rsidR="00670B46" w:rsidRPr="004F647B">
        <w:rPr>
          <w:rFonts w:ascii="Traditional Arabic" w:hAnsi="Traditional Arabic" w:cs="Traditional Arabic"/>
          <w:sz w:val="28"/>
          <w:szCs w:val="28"/>
          <w:lang w:bidi="ar-IQ"/>
        </w:rPr>
        <w:t xml:space="preserve">  CV</w:t>
      </w:r>
    </w:p>
    <w:tbl>
      <w:tblPr>
        <w:tblStyle w:val="TableGrid"/>
        <w:bidiVisual/>
        <w:tblW w:w="1049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43"/>
        <w:gridCol w:w="3418"/>
        <w:gridCol w:w="3402"/>
        <w:gridCol w:w="2127"/>
      </w:tblGrid>
      <w:tr w:rsidR="00670B46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670B46" w:rsidRPr="004F647B" w:rsidRDefault="004C58E5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670B46" w:rsidRPr="004F647B" w:rsidRDefault="004C58E5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Personal information</w:t>
            </w:r>
          </w:p>
        </w:tc>
      </w:tr>
      <w:tr w:rsidR="00AF7BBE" w:rsidRPr="004F647B" w:rsidTr="0048606A">
        <w:tc>
          <w:tcPr>
            <w:tcW w:w="1543" w:type="dxa"/>
          </w:tcPr>
          <w:p w:rsidR="00670B46" w:rsidRPr="004F647B" w:rsidRDefault="00AC3878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418" w:type="dxa"/>
          </w:tcPr>
          <w:p w:rsidR="00670B46" w:rsidRPr="004F647B" w:rsidRDefault="00103958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د. </w:t>
            </w:r>
            <w:r w:rsidR="00A778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حبيب</w:t>
            </w:r>
            <w:r w:rsidR="00AC3878"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ابراهيم</w:t>
            </w:r>
          </w:p>
        </w:tc>
        <w:tc>
          <w:tcPr>
            <w:tcW w:w="3402" w:type="dxa"/>
          </w:tcPr>
          <w:p w:rsidR="00670B46" w:rsidRPr="004F647B" w:rsidRDefault="00103958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Dr. </w:t>
            </w:r>
            <w:r w:rsidR="00A7782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Habeeb</w:t>
            </w:r>
            <w:r w:rsidR="00AC3878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Ibrahim</w:t>
            </w:r>
          </w:p>
        </w:tc>
        <w:tc>
          <w:tcPr>
            <w:tcW w:w="2127" w:type="dxa"/>
          </w:tcPr>
          <w:p w:rsidR="00670B46" w:rsidRPr="004F647B" w:rsidRDefault="00AC3878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Name</w:t>
            </w:r>
          </w:p>
        </w:tc>
      </w:tr>
      <w:tr w:rsidR="00103958" w:rsidRPr="004F647B" w:rsidTr="0048606A">
        <w:tc>
          <w:tcPr>
            <w:tcW w:w="1543" w:type="dxa"/>
          </w:tcPr>
          <w:p w:rsidR="00103958" w:rsidRPr="004F647B" w:rsidRDefault="00103958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3418" w:type="dxa"/>
          </w:tcPr>
          <w:p w:rsidR="00103958" w:rsidRPr="004F647B" w:rsidRDefault="00103958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3402" w:type="dxa"/>
          </w:tcPr>
          <w:p w:rsidR="00103958" w:rsidRPr="004F647B" w:rsidRDefault="00E55B57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Assistant</w:t>
            </w:r>
            <w:r w:rsidR="00811DA9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professor</w:t>
            </w:r>
          </w:p>
        </w:tc>
        <w:tc>
          <w:tcPr>
            <w:tcW w:w="2127" w:type="dxa"/>
          </w:tcPr>
          <w:p w:rsidR="00103958" w:rsidRPr="004F647B" w:rsidRDefault="00B44ED7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Academic Rank</w:t>
            </w:r>
          </w:p>
        </w:tc>
      </w:tr>
      <w:tr w:rsidR="00AF7BBE" w:rsidRPr="004F647B" w:rsidTr="0048606A">
        <w:tc>
          <w:tcPr>
            <w:tcW w:w="1543" w:type="dxa"/>
          </w:tcPr>
          <w:p w:rsidR="00670B46" w:rsidRPr="004F647B" w:rsidRDefault="00F90DE0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3418" w:type="dxa"/>
          </w:tcPr>
          <w:p w:rsidR="00670B46" w:rsidRPr="004F647B" w:rsidRDefault="00745E28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3402" w:type="dxa"/>
          </w:tcPr>
          <w:p w:rsidR="00670B46" w:rsidRPr="004F647B" w:rsidRDefault="006720BC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Married</w:t>
            </w:r>
          </w:p>
        </w:tc>
        <w:tc>
          <w:tcPr>
            <w:tcW w:w="2127" w:type="dxa"/>
          </w:tcPr>
          <w:p w:rsidR="00670B46" w:rsidRPr="004F647B" w:rsidRDefault="006703A3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</w:t>
            </w:r>
            <w:r w:rsidR="00F90DE0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tatus</w:t>
            </w:r>
          </w:p>
        </w:tc>
      </w:tr>
      <w:tr w:rsidR="00AF7BBE" w:rsidRPr="004F647B" w:rsidTr="0048606A">
        <w:tc>
          <w:tcPr>
            <w:tcW w:w="1543" w:type="dxa"/>
          </w:tcPr>
          <w:p w:rsidR="00670B46" w:rsidRPr="004F647B" w:rsidRDefault="00206B64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3418" w:type="dxa"/>
          </w:tcPr>
          <w:p w:rsidR="00670B46" w:rsidRPr="004F647B" w:rsidRDefault="00206B64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عراقي</w:t>
            </w:r>
            <w:r w:rsidR="0001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0163C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="000163C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مقيم في المانيا</w:t>
            </w:r>
          </w:p>
        </w:tc>
        <w:tc>
          <w:tcPr>
            <w:tcW w:w="3402" w:type="dxa"/>
          </w:tcPr>
          <w:p w:rsidR="00670B46" w:rsidRPr="004F647B" w:rsidRDefault="003A011F" w:rsidP="000163CD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Iraqi</w:t>
            </w:r>
            <w:r w:rsidR="000163CD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-</w:t>
            </w:r>
            <w:r w:rsidR="000163CD" w:rsidRPr="000163CD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Resident in Germany</w:t>
            </w:r>
          </w:p>
        </w:tc>
        <w:tc>
          <w:tcPr>
            <w:tcW w:w="2127" w:type="dxa"/>
          </w:tcPr>
          <w:p w:rsidR="00670B46" w:rsidRPr="004F647B" w:rsidRDefault="006703A3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N</w:t>
            </w:r>
            <w:r w:rsidR="000035E1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ationality</w:t>
            </w:r>
          </w:p>
        </w:tc>
      </w:tr>
      <w:tr w:rsidR="00D94E52" w:rsidRPr="004F647B" w:rsidTr="0048606A">
        <w:tc>
          <w:tcPr>
            <w:tcW w:w="1543" w:type="dxa"/>
          </w:tcPr>
          <w:p w:rsidR="00D94E52" w:rsidRPr="004F647B" w:rsidRDefault="00D94E52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رقم الهوية</w:t>
            </w:r>
          </w:p>
        </w:tc>
        <w:tc>
          <w:tcPr>
            <w:tcW w:w="6820" w:type="dxa"/>
            <w:gridSpan w:val="2"/>
          </w:tcPr>
          <w:p w:rsidR="00D94E52" w:rsidRPr="004F647B" w:rsidRDefault="00D94E52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D94E52" w:rsidRPr="004F647B" w:rsidRDefault="00D94E52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ID number</w:t>
            </w:r>
          </w:p>
        </w:tc>
      </w:tr>
      <w:tr w:rsidR="00D94E52" w:rsidRPr="004F647B" w:rsidTr="0048606A">
        <w:tc>
          <w:tcPr>
            <w:tcW w:w="1543" w:type="dxa"/>
          </w:tcPr>
          <w:p w:rsidR="00D94E52" w:rsidRPr="004F647B" w:rsidRDefault="00D94E52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6820" w:type="dxa"/>
            <w:gridSpan w:val="2"/>
          </w:tcPr>
          <w:p w:rsidR="00D94E52" w:rsidRPr="004F647B" w:rsidRDefault="00D94E52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22 – 5 </w:t>
            </w:r>
            <w:r w:rsidR="006D324F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1975</w:t>
            </w:r>
          </w:p>
        </w:tc>
        <w:tc>
          <w:tcPr>
            <w:tcW w:w="2127" w:type="dxa"/>
          </w:tcPr>
          <w:p w:rsidR="00D94E52" w:rsidRPr="004F647B" w:rsidRDefault="00D94E52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Date of Birth</w:t>
            </w:r>
          </w:p>
        </w:tc>
      </w:tr>
      <w:tr w:rsidR="00A01C45" w:rsidRPr="004F647B" w:rsidTr="0048606A">
        <w:tc>
          <w:tcPr>
            <w:tcW w:w="1543" w:type="dxa"/>
          </w:tcPr>
          <w:p w:rsidR="00A01C45" w:rsidRPr="004F647B" w:rsidRDefault="00A01C45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رقم جواز السفر</w:t>
            </w:r>
          </w:p>
        </w:tc>
        <w:tc>
          <w:tcPr>
            <w:tcW w:w="6820" w:type="dxa"/>
            <w:gridSpan w:val="2"/>
          </w:tcPr>
          <w:p w:rsidR="00A01C45" w:rsidRPr="004F647B" w:rsidRDefault="00A01C45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27" w:type="dxa"/>
          </w:tcPr>
          <w:p w:rsidR="00A01C45" w:rsidRPr="004F647B" w:rsidRDefault="006703A3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Passport No.</w:t>
            </w:r>
          </w:p>
        </w:tc>
      </w:tr>
      <w:tr w:rsidR="00B30304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B30304" w:rsidRPr="004F647B" w:rsidRDefault="00B30304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اللغات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B30304" w:rsidRPr="004F647B" w:rsidRDefault="00B30304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Language</w:t>
            </w:r>
          </w:p>
        </w:tc>
      </w:tr>
      <w:tr w:rsidR="00315C92" w:rsidRPr="004F647B" w:rsidTr="0048606A">
        <w:tc>
          <w:tcPr>
            <w:tcW w:w="1543" w:type="dxa"/>
          </w:tcPr>
          <w:p w:rsidR="00315C92" w:rsidRPr="004F647B" w:rsidRDefault="00990CB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الكوردية</w:t>
            </w:r>
          </w:p>
        </w:tc>
        <w:tc>
          <w:tcPr>
            <w:tcW w:w="3418" w:type="dxa"/>
          </w:tcPr>
          <w:p w:rsidR="00315C92" w:rsidRPr="004F647B" w:rsidRDefault="00990CBB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لغة الام</w:t>
            </w:r>
            <w:r w:rsidR="00D965F4"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(ممتاز)</w:t>
            </w:r>
          </w:p>
        </w:tc>
        <w:tc>
          <w:tcPr>
            <w:tcW w:w="3402" w:type="dxa"/>
          </w:tcPr>
          <w:p w:rsidR="00315C92" w:rsidRPr="004F647B" w:rsidRDefault="00397D12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Native Language</w:t>
            </w:r>
            <w:r w:rsidR="002C4C20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(Excellent)</w:t>
            </w:r>
          </w:p>
        </w:tc>
        <w:tc>
          <w:tcPr>
            <w:tcW w:w="2127" w:type="dxa"/>
          </w:tcPr>
          <w:p w:rsidR="00315C92" w:rsidRPr="004F647B" w:rsidRDefault="008D08B5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Kurdish</w:t>
            </w:r>
          </w:p>
        </w:tc>
      </w:tr>
      <w:tr w:rsidR="00315C92" w:rsidRPr="004F647B" w:rsidTr="0048606A">
        <w:tc>
          <w:tcPr>
            <w:tcW w:w="1543" w:type="dxa"/>
          </w:tcPr>
          <w:p w:rsidR="00315C92" w:rsidRPr="004F647B" w:rsidRDefault="00990CB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العربية</w:t>
            </w:r>
          </w:p>
        </w:tc>
        <w:tc>
          <w:tcPr>
            <w:tcW w:w="3418" w:type="dxa"/>
          </w:tcPr>
          <w:p w:rsidR="00315C92" w:rsidRPr="004F647B" w:rsidRDefault="00990CBB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3402" w:type="dxa"/>
          </w:tcPr>
          <w:p w:rsidR="00315C92" w:rsidRPr="004F647B" w:rsidRDefault="00397D12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Excellent</w:t>
            </w:r>
          </w:p>
        </w:tc>
        <w:tc>
          <w:tcPr>
            <w:tcW w:w="2127" w:type="dxa"/>
          </w:tcPr>
          <w:p w:rsidR="00315C92" w:rsidRPr="004F647B" w:rsidRDefault="008D08B5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Arabic</w:t>
            </w:r>
          </w:p>
        </w:tc>
      </w:tr>
      <w:tr w:rsidR="00315C92" w:rsidRPr="004F647B" w:rsidTr="0048606A">
        <w:tc>
          <w:tcPr>
            <w:tcW w:w="1543" w:type="dxa"/>
          </w:tcPr>
          <w:p w:rsidR="00315C92" w:rsidRPr="004F647B" w:rsidRDefault="00990CB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التركية</w:t>
            </w:r>
          </w:p>
        </w:tc>
        <w:tc>
          <w:tcPr>
            <w:tcW w:w="3418" w:type="dxa"/>
          </w:tcPr>
          <w:p w:rsidR="00315C92" w:rsidRPr="004F647B" w:rsidRDefault="00990CBB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3402" w:type="dxa"/>
          </w:tcPr>
          <w:p w:rsidR="00315C92" w:rsidRPr="004F647B" w:rsidRDefault="00B86125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Good</w:t>
            </w:r>
          </w:p>
        </w:tc>
        <w:tc>
          <w:tcPr>
            <w:tcW w:w="2127" w:type="dxa"/>
          </w:tcPr>
          <w:p w:rsidR="00315C92" w:rsidRPr="004F647B" w:rsidRDefault="008D08B5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Turkish</w:t>
            </w:r>
          </w:p>
        </w:tc>
      </w:tr>
      <w:tr w:rsidR="00990CBB" w:rsidRPr="004F647B" w:rsidTr="0048606A">
        <w:tc>
          <w:tcPr>
            <w:tcW w:w="1543" w:type="dxa"/>
          </w:tcPr>
          <w:p w:rsidR="00990CBB" w:rsidRPr="004F647B" w:rsidRDefault="00990CB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3418" w:type="dxa"/>
          </w:tcPr>
          <w:p w:rsidR="00990CBB" w:rsidRPr="004F647B" w:rsidRDefault="00990CBB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3402" w:type="dxa"/>
          </w:tcPr>
          <w:p w:rsidR="00990CBB" w:rsidRPr="004F647B" w:rsidRDefault="00B86125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Good</w:t>
            </w:r>
          </w:p>
        </w:tc>
        <w:tc>
          <w:tcPr>
            <w:tcW w:w="2127" w:type="dxa"/>
          </w:tcPr>
          <w:p w:rsidR="00990CBB" w:rsidRPr="004F647B" w:rsidRDefault="008D08B5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English</w:t>
            </w:r>
          </w:p>
        </w:tc>
      </w:tr>
      <w:tr w:rsidR="00990CBB" w:rsidRPr="004F647B" w:rsidTr="0048606A">
        <w:tc>
          <w:tcPr>
            <w:tcW w:w="1543" w:type="dxa"/>
          </w:tcPr>
          <w:p w:rsidR="00990CBB" w:rsidRPr="004F647B" w:rsidRDefault="00990CB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الألمانية</w:t>
            </w:r>
          </w:p>
        </w:tc>
        <w:tc>
          <w:tcPr>
            <w:tcW w:w="3418" w:type="dxa"/>
          </w:tcPr>
          <w:p w:rsidR="00990CBB" w:rsidRPr="004F647B" w:rsidRDefault="00621904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3402" w:type="dxa"/>
          </w:tcPr>
          <w:p w:rsidR="00990CBB" w:rsidRPr="004F647B" w:rsidRDefault="00EA3597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Accepted</w:t>
            </w:r>
          </w:p>
        </w:tc>
        <w:tc>
          <w:tcPr>
            <w:tcW w:w="2127" w:type="dxa"/>
          </w:tcPr>
          <w:p w:rsidR="00990CBB" w:rsidRPr="004F647B" w:rsidRDefault="008D08B5" w:rsidP="00FC448A">
            <w:pPr>
              <w:bidi w:val="0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German</w:t>
            </w:r>
          </w:p>
        </w:tc>
      </w:tr>
      <w:tr w:rsidR="000035E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0035E1" w:rsidRPr="004F647B" w:rsidRDefault="000035E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الاتصال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0035E1" w:rsidRPr="004F647B" w:rsidRDefault="00EC39ED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Contact</w:t>
            </w:r>
          </w:p>
        </w:tc>
      </w:tr>
      <w:tr w:rsidR="002301AF" w:rsidRPr="004F647B" w:rsidTr="0048606A">
        <w:tc>
          <w:tcPr>
            <w:tcW w:w="1543" w:type="dxa"/>
          </w:tcPr>
          <w:p w:rsidR="002301AF" w:rsidRPr="004F647B" w:rsidRDefault="002301AF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الموبايل</w:t>
            </w:r>
          </w:p>
        </w:tc>
        <w:tc>
          <w:tcPr>
            <w:tcW w:w="6820" w:type="dxa"/>
            <w:gridSpan w:val="2"/>
          </w:tcPr>
          <w:p w:rsidR="002301AF" w:rsidRPr="004F647B" w:rsidRDefault="00746888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004915746615644</w:t>
            </w:r>
          </w:p>
        </w:tc>
        <w:tc>
          <w:tcPr>
            <w:tcW w:w="2127" w:type="dxa"/>
          </w:tcPr>
          <w:p w:rsidR="002301AF" w:rsidRPr="004F647B" w:rsidRDefault="002301AF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Mobile</w:t>
            </w:r>
          </w:p>
        </w:tc>
      </w:tr>
      <w:tr w:rsidR="00114EA4" w:rsidRPr="004F647B" w:rsidTr="0048606A">
        <w:tc>
          <w:tcPr>
            <w:tcW w:w="1543" w:type="dxa"/>
          </w:tcPr>
          <w:p w:rsidR="00114EA4" w:rsidRPr="004F647B" w:rsidRDefault="00BB19A9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البريد الألكتروني</w:t>
            </w:r>
          </w:p>
        </w:tc>
        <w:tc>
          <w:tcPr>
            <w:tcW w:w="6820" w:type="dxa"/>
            <w:gridSpan w:val="2"/>
          </w:tcPr>
          <w:p w:rsidR="00114EA4" w:rsidRPr="004F647B" w:rsidRDefault="00723CFF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hyperlink r:id="rId8" w:history="1">
              <w:r w:rsidR="001F4305" w:rsidRPr="004F647B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IQ"/>
                </w:rPr>
                <w:t>dr.habeeb1975@hotmail.com</w:t>
              </w:r>
            </w:hyperlink>
          </w:p>
          <w:p w:rsidR="001A5719" w:rsidRPr="004F647B" w:rsidRDefault="00723CFF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hyperlink r:id="rId9" w:history="1">
              <w:r w:rsidR="002F659C" w:rsidRPr="004F647B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IQ"/>
                </w:rPr>
                <w:t>dr.habeeb1975@live.com</w:t>
              </w:r>
            </w:hyperlink>
          </w:p>
        </w:tc>
        <w:tc>
          <w:tcPr>
            <w:tcW w:w="2127" w:type="dxa"/>
          </w:tcPr>
          <w:p w:rsidR="00114EA4" w:rsidRPr="004F647B" w:rsidRDefault="00114EA4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Email</w:t>
            </w:r>
          </w:p>
        </w:tc>
      </w:tr>
      <w:tr w:rsidR="00C61FCB" w:rsidRPr="004F647B" w:rsidTr="0048606A">
        <w:tc>
          <w:tcPr>
            <w:tcW w:w="1543" w:type="dxa"/>
          </w:tcPr>
          <w:p w:rsidR="00C61FCB" w:rsidRPr="004F647B" w:rsidRDefault="00C61FCB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عنوان السكن</w:t>
            </w:r>
          </w:p>
        </w:tc>
        <w:tc>
          <w:tcPr>
            <w:tcW w:w="6820" w:type="dxa"/>
            <w:gridSpan w:val="2"/>
          </w:tcPr>
          <w:p w:rsidR="00C61FCB" w:rsidRPr="004F647B" w:rsidRDefault="002B09FD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Mevissen</w:t>
            </w:r>
            <w:r w:rsidR="00C8389D"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Straße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. 7</w:t>
            </w:r>
          </w:p>
          <w:p w:rsidR="002B09FD" w:rsidRPr="004F647B" w:rsidRDefault="002B09FD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47059 Duisburg</w:t>
            </w:r>
          </w:p>
          <w:p w:rsidR="002B09FD" w:rsidRPr="004F647B" w:rsidRDefault="002B09FD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Germany</w:t>
            </w:r>
          </w:p>
        </w:tc>
        <w:tc>
          <w:tcPr>
            <w:tcW w:w="2127" w:type="dxa"/>
          </w:tcPr>
          <w:p w:rsidR="00C61FCB" w:rsidRPr="004F647B" w:rsidRDefault="00C61FCB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Address</w:t>
            </w:r>
          </w:p>
        </w:tc>
      </w:tr>
      <w:tr w:rsidR="003B7F98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3B7F98" w:rsidRPr="004F647B" w:rsidRDefault="003B7F98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المؤهلات العلمية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3B7F98" w:rsidRPr="004F647B" w:rsidRDefault="00C27C86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Qualifications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418" w:type="dxa"/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3402" w:type="dxa"/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Bachelor</w:t>
            </w:r>
          </w:p>
        </w:tc>
        <w:tc>
          <w:tcPr>
            <w:tcW w:w="2127" w:type="dxa"/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Qualification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الكلية والجامعة</w:t>
            </w:r>
          </w:p>
        </w:tc>
        <w:tc>
          <w:tcPr>
            <w:tcW w:w="3418" w:type="dxa"/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3402" w:type="dxa"/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Faculty of media – University of Baghdad</w:t>
            </w:r>
          </w:p>
        </w:tc>
        <w:tc>
          <w:tcPr>
            <w:tcW w:w="2127" w:type="dxa"/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University</w:t>
            </w:r>
          </w:p>
        </w:tc>
      </w:tr>
      <w:tr w:rsidR="002A7211" w:rsidRPr="004F647B" w:rsidTr="0048606A">
        <w:trPr>
          <w:trHeight w:val="382"/>
        </w:trPr>
        <w:tc>
          <w:tcPr>
            <w:tcW w:w="1543" w:type="dxa"/>
            <w:tcBorders>
              <w:bottom w:val="single" w:sz="12" w:space="0" w:color="auto"/>
            </w:tcBorders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3418" w:type="dxa"/>
            <w:tcBorders>
              <w:bottom w:val="single" w:sz="12" w:space="0" w:color="auto"/>
            </w:tcBorders>
          </w:tcPr>
          <w:p w:rsidR="002A7211" w:rsidRPr="004F647B" w:rsidRDefault="002A7211" w:rsidP="009F408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1999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1999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A7211" w:rsidRPr="004F647B" w:rsidRDefault="002A7211" w:rsidP="009F4084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Graduation year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418" w:type="dxa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3402" w:type="dxa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Master</w:t>
            </w:r>
          </w:p>
        </w:tc>
        <w:tc>
          <w:tcPr>
            <w:tcW w:w="2127" w:type="dxa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Qualification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الكلية والجامعة</w:t>
            </w:r>
          </w:p>
        </w:tc>
        <w:tc>
          <w:tcPr>
            <w:tcW w:w="3418" w:type="dxa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كلية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بغداد</w:t>
            </w:r>
          </w:p>
        </w:tc>
        <w:tc>
          <w:tcPr>
            <w:tcW w:w="3402" w:type="dxa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Faculty of media – University of Baghdad</w:t>
            </w:r>
          </w:p>
        </w:tc>
        <w:tc>
          <w:tcPr>
            <w:tcW w:w="2127" w:type="dxa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University</w:t>
            </w:r>
          </w:p>
        </w:tc>
      </w:tr>
      <w:tr w:rsidR="002A7211" w:rsidRPr="004F647B" w:rsidTr="0048606A">
        <w:tc>
          <w:tcPr>
            <w:tcW w:w="1543" w:type="dxa"/>
            <w:tcBorders>
              <w:bottom w:val="single" w:sz="12" w:space="0" w:color="auto"/>
            </w:tcBorders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3418" w:type="dxa"/>
            <w:tcBorders>
              <w:bottom w:val="single" w:sz="12" w:space="0" w:color="auto"/>
            </w:tcBorders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2005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Graduation year</w:t>
            </w:r>
          </w:p>
        </w:tc>
      </w:tr>
      <w:tr w:rsidR="002A7211" w:rsidRPr="004F647B" w:rsidTr="0048606A">
        <w:tc>
          <w:tcPr>
            <w:tcW w:w="1543" w:type="dxa"/>
            <w:tcBorders>
              <w:top w:val="single" w:sz="12" w:space="0" w:color="auto"/>
            </w:tcBorders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3418" w:type="dxa"/>
            <w:tcBorders>
              <w:top w:val="single" w:sz="12" w:space="0" w:color="auto"/>
            </w:tcBorders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Ph.D. (Doctoral Degree)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Qualification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>الكلية والجامعة</w:t>
            </w:r>
          </w:p>
        </w:tc>
        <w:tc>
          <w:tcPr>
            <w:tcW w:w="3418" w:type="dxa"/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كلية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بغداد </w:t>
            </w:r>
          </w:p>
        </w:tc>
        <w:tc>
          <w:tcPr>
            <w:tcW w:w="3402" w:type="dxa"/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faculty of media – university of Baghdad</w:t>
            </w:r>
          </w:p>
        </w:tc>
        <w:tc>
          <w:tcPr>
            <w:tcW w:w="2127" w:type="dxa"/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University</w:t>
            </w:r>
          </w:p>
        </w:tc>
      </w:tr>
      <w:tr w:rsidR="002A7211" w:rsidRPr="004F647B" w:rsidTr="0048606A">
        <w:tc>
          <w:tcPr>
            <w:tcW w:w="1543" w:type="dxa"/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3418" w:type="dxa"/>
          </w:tcPr>
          <w:p w:rsidR="002A7211" w:rsidRPr="004F647B" w:rsidRDefault="002A7211" w:rsidP="00703C9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3402" w:type="dxa"/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2127" w:type="dxa"/>
          </w:tcPr>
          <w:p w:rsidR="002A7211" w:rsidRPr="004F647B" w:rsidRDefault="002A7211" w:rsidP="00703C9E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Graduation Year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التعليم والخبرات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Education &amp; Experience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1. الحصول على شهادة الكفاءة في اللغة الانكليزية من كلية اللغات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بغداد عام 1997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1. Obtaining a certificate of proficiency in the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English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language from the Faculty of Languages </w:t>
            </w:r>
            <w:r w:rsidRPr="004F647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​​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- the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University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of Baghdad in 1997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 الحصول على شهادة استخادم الكومبيوتر لطلبة الدراسات العليا التي اقامتها جامعة بغداد عام 2005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 Obtain A Computer use certificate for postgraduate students established by Baghdad University in 2005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3.الحصول على شهادة اللغة الانكليزية مستوى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Intermediate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من كلية برمنغهام عام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3. Obtain an Intermediate English Language Certificate from Birmingham College in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44482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4. الحصول على شهادة اللغة الانكليزية مستوى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Pre-intermediate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من معهد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AMIDEAST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في أربيل عام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4.Obtain a pre-intermediate level English Language Certificate from the AMIDEAST Institute in Erbil, 2016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المشاركة في المؤتمرات وورشات العمل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Participation in conferences and workshops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1060C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1.المشاركة في ورشة عمل تطوير مناهج أقسام الاعلام التي عقد</w:t>
            </w:r>
            <w:r w:rsidR="001060C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ها منظمة اليونسكو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مكتب العراق في عمان عام 2011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 Participation in the workshop of developing the curricula of the media departments held by UNESCO - Iraq office in Amman in 2011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2.المشاركة في ورشة عمل مناهج الصحافة الاستقصائية التي أقامتها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UNDP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في عمان عام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 Participated in the workshop of the investigative journalism course established by UNDP in Amman in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3. المشاركة في مؤتمر (التغييرات في الشرق الأوسط) التي عقدته جريدة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BAS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HABAR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الصاردة في أنقرة عام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3. Participating in the Conference on "Changing in the Middle East", which was published in Ankara in 2016 by BAS </w:t>
            </w:r>
            <w:r w:rsidRPr="001060C0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HABAR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4. المشاركة في مؤتمر (اسس السلام الاجتماعي) التي اقامته جامعة صلاح الدين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اربيل عام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4. Participating in the conference (foundations of social peace) established by Salahaddin University - Erbil in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5. المشاركة في ورشة عمل (الوعي البيئي) التي اقامتها منظمة افيار للوعي البيئي عام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5. Participate in the workshop (Environmental Awareness) set up by the environmental organization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Aviar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for 2014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Books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>1.(كونراد كان هناك)، مجموعة قصصية، مؤسسة شفق، كركوك، 2006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1. (Conrad was there), a collection of stories,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Shafak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Foundation, Kirkuk, 2006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2.فنون التحرير الصحفي، مؤسسة موكرياني، أربيل، 2008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2.Journalist Arts,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Mukaryani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Foundation, Erbil, 2008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D62E0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3.مقدمة في علم الاتصال، مؤسسة موكرياني، أربيل، 2008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D62E00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3. Introduction to Communication Science,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Mukaryani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Foundation, Erbil, 2008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4.فنون التحرير الصحفي، دار اسامة للنشر، عمان، 2017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4. Journalist Arts, Dar Osama Publishing, Amman, 2017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5. التلفزيون: نشأته، تطوره، فنونه، دار نور للنشر، دبسلدورف، المانيا، 2017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7C584D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5. Television: Its Origination, Development, Art, Dar Noor Publishing, Düsseldorf, Germany, 2017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العضوية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Membership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1. عضو نقابة الصحفيين العراقيين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فرع كركوك منذ 2003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 Member of Iraqi Journalists Syndicate - Kirkuk branch since 2003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2. عضو فخري في جمعية الدفاع عن الشعوب المهددة الألمانية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GFBV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فرع كوردستان العراق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 Honorary member of the Society for the Defense of Threatened Peoples o</w:t>
            </w:r>
            <w:r w:rsidR="00D32D51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f Germany (GFBV), Kurdistan’s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Branch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التدريس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Teaching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1.تدريسي بقسم السمعية والمرئية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معهد كركوك للفنون الجميلة 2006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2008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Lecturer ins Department of Audio and Video - Kirkuk Institute of Fine Arts 2006 – 2008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2.تدريسي بكلية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الجامعة الحرة في هولندا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فرع كركوك 2005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2009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Lecturer in Faculty of Media - Free University of  Netherlands - Kirkuk Branch 2005 – 2009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3.تدريسي بقسم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كاستاذ مساعد 2008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Lecturer</w:t>
            </w:r>
            <w:r w:rsidR="002074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67089E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(</w:t>
            </w:r>
            <w:r w:rsidR="00207468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assistant professor</w:t>
            </w:r>
            <w:r w:rsidR="0067089E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in Media Department - Faculty of Arts - Salahaddin University as Assistant Professor 2008 – 2016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4.تدريسي بقسم التسويق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الجامعة اللبنانية الفرنسية 2013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4.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Lecturer</w:t>
            </w:r>
            <w:r w:rsidR="00207468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(Assistant professor)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in marketing department - Lebanese French University 2013 – 2016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الخبرة الاعلامية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Media Experience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1.مراسل جريدة التآخي في كركوك 2003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2005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1.Correspondent of (Al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Takhi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newspaper in Kirkuk 2003 – 2005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 xml:space="preserve">2.مدير تحرير جريدة كركوك الغد 2004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2006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2.Editor - in - Chief of Kirkuk Al -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Ghad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Newspaper 2004 – 2006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3.مشرف على مجلة أشتى الصادرة عن منظمة أشتى 2007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pStyle w:val="HTMLPreformatted"/>
              <w:shd w:val="clear" w:color="auto" w:fill="FFFFFF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3.Supervisor of (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ASHTI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) Magazine, published by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Ashti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Organization in Kirkuk 2007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4.كاتب عمود صحفي في مجلة (الفجر الجديد) 2004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2006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4.Journalist in the (New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Shafak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Magazine between 2004 – 2006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5.كادر بقسم التخطيط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قناة رووداو الفضائية  اربيل 1- 3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2013 لغاية 1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11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5. Member Staff of the planning department - Rudaw satellite channel in Erbil 1 - 3 - 2013 until 1 - 11 – 2013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6.معد برنامج (مصطلحات) في راديو رووداو 1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3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2013 لغاية 1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12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2013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6. Preparation Programmer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of (Terminology) program at Radio Rudaw 1 - 3 - 2013 until 1 - 12 – 2013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7.مستشار مدير عام قناة كوردستان 24 الفضائية للفترة من 17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9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2016 لغاية 17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12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7.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Advisor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to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General Director of Kurdistan 24 satellite channel for the period from 17 - 9 - 2016 until 17 - 12 – 2016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الاشراف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rPr>
                <w:rFonts w:ascii="inherit" w:hAnsi="inherit"/>
                <w:color w:val="212121"/>
                <w:sz w:val="28"/>
                <w:szCs w:val="28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>Supervision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1.مشرف على رسالة ماجستير الطالب (صديق احمد كريم)الموسومة (تغطية الصحافة الكوردية لعمليات الانفال) في كلية الاعلام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-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الجامعة الحرة في هولندا 2009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1.Supervisor of Master's thesis, student: (</w:t>
            </w:r>
            <w:proofErr w:type="spellStart"/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Sdiq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Ahmed Karim), tagged (coverage of the Kurdish press for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Anfal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operations) at the Faculty of Media / Free University in Netherlands 2009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2.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مشرف على رسالة ماجستير الطالب (ظاهر حمد امين) الموسومة (دور الاعلانات التلفزيونية في تشجيع السلوك الشرائي للمستهلك) في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قسم الاعلام -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كلية الاداب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-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جامعة صلاح الدين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2.Supervisor of Master Thesis,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Dhaher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Hamad Amin) tagged (the role of TV commercials in promoting consumer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behavior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at Media Department - Faculty of Arts / Salahaddin University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3.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مشرف على رسالة ماجستير الطالبة (شيلان ياسين خضر) الموسومة (دور القنوات الفضائية الكوردية في تشكيل اتجاهات الشباب الجامعي بخصوص تشكيل حكومة اقليم كوردستان) في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قسم الاعلام -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كلية الاداب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-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جامعة صلاح الدين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3.Supervisor of the Master Thesis,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ShilanYasin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Khadr) tagged (The role of Kurdish satellite channels in shaping the trends of university youth regarding the formation of the Kurdistan Regional Government) at Media Department - Faculty of Arts / Salahaddin University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4.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مشرف على رسالة ماجستير الطالب (دلشاد مصطفى) الموسومة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 xml:space="preserve">(العلاقة بين النظم الادارية وعمل الاعلاميين في القنوات الفضائية الكوردية) في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قسم الاعلام -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كلية الاداب / جامعة صلاح الدين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4.Supervisor of Master Thesis,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Dilshad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Mustafa) tagged (the relationship between administrative systems and the work of journalists in the Kurdish satellite channels) at Media Department - Faculty of Arts / Salahaddin University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>5.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مشرف على رسالة ماجستير الطالبة (ئاواز حسن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اسماعيل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الموسومة (دور العلاقات العامة في حكومة اقليم كوردستان) في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قسم الاعلام -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كلية الاداب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-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جامعة صلاح الدين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5.Supervisor of Master Thesis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Awaz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Hassan Ismail) tagged (the role of public relations in the Kurdistan Regional Government) at Media Department - Faculty of Arts / Salahaddin University 2014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المناقشات العلمية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pStyle w:val="HTMLPreformatted"/>
              <w:rPr>
                <w:rFonts w:ascii="Traditional Arabic" w:eastAsiaTheme="minorEastAsia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eastAsiaTheme="minorEastAsia" w:hAnsi="Traditional Arabic" w:cs="Traditional Arabic"/>
                <w:sz w:val="28"/>
                <w:szCs w:val="28"/>
                <w:lang w:bidi="ar-IQ"/>
              </w:rPr>
              <w:t>Scientific discussions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1.عضو لجنة مناقشة  ماجستير الطالب (شوان ادم ايفس) ) الموسومة (الحياة الشخصية في الصحافة الكوردية)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العلوم الانسانية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السليمانية 2010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 Member of Master's Thesis Committee of the student (</w:t>
            </w:r>
            <w:proofErr w:type="spellStart"/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Shwan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Adam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Effes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(tagged (personal life in the Kurdish press) Department of Media - Faculty of Human Sciences - Salahaddin University 2010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2.عضو لجنة مناقشة رسالة ماجستير الطالب (خضر كلو دوملي) الموسومة (دور التلفزيون في بناء السلام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مدينة كركوك أنمودجا) معهد دراسات السلام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القانون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دهوك 2011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 Member of Master's Thesis Committee of the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Khidr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Klo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Domly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tagged (The role of television in peace building - Kirkuk city) Institute of Peace Studies - Faculty of Law - University of Duhok 2011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3.عضو لجنة مناقشة رسالة ماجستير الطالب (طارق جوهر عولا) الموسومة (تجربة المتحدث الرسمي في اقليم كوردستان)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العلوم الانسانية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السليمانية 2011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3. Member of Master's Thesis Committee of the student (Tarek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Jawhar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Aula) tagged (experience of the official spokesman in the Kurdistan Region) Department of Media - Faculty of Humanities - University of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Sulaymaniyah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2011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4.عضو لجنة مناقشة رسالة ماجستير الطالب (عدنان حسين محمد) الموسومة (التحريض الاعلامي في العراق بعد 2003) معهد دراسات السلام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القانون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دهوك 2012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4. Member of Master's Thesis Committee of the student (Adnan Hussein Mohammed) tagged (media incitement in Iraq after 2003) Institute of Peace Studies - Faculty of Law - University of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Dohuk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2012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5.عضو لجنة مناقشة رسالة ماجستير الطالب (ازاد عبد العزيز) الموسومة (استخدامات الشباب الجامعي للمواقع الألكترونية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 xml:space="preserve">الكوردية والاشباعات المتحققة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دراسة ميدانية)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2014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5.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Member of Master's Thesis Committee of the student (Azad Abdel Aziz) tagged (Uses of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University Youth For Kurdish Websites and the innovations achieved - field study) Department of Media - Faculty of Arts - Salahaddin University 2014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 xml:space="preserve">6.عضو لجنة مناقشة رسالة ماجستير الطالب (محمد عبد الله محمود) الموسومة (دور الصحف المحلية في ترتيب أجندة النخبة السياسية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دراسة ميدانية)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6.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Member of Master's Thesis Committee of the student (Mohammad Abdullah Mahmoud) tagged (The role of local newspapers in the ranking of the elite political agenda - a field study) Media Department - Faculty of Arts - Salahaddin University 2015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7.عضو لجنة مناقشة رسالة ماجستير الطالب (حسين عمر) الموسومة (دور الاعلام الرياضي في دافعية الانجاز لدى لاعبي الشباب بكرة اليد) كلية التربية الرياضية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7.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Member of Master's Thesis Committee of the student (Hussein Omar) tagged (the role of sports media in the motivation of achievement in youth players handball) Faculty of Physical Education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- Salahaddin University 2015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8.عضو لجنة مناقشة اطروحة دكتوراه الطالب (تحسين شيرواني) الموسومة (تقييم الأزمات الرياضية من المنظور الاداري والاعلامي في أندية الدرجة الاولى باقليم كوردستان) كلية التربية الرياضية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الموصل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8.</w:t>
            </w:r>
            <w:r w:rsidRPr="004F647B">
              <w:rPr>
                <w:sz w:val="28"/>
                <w:szCs w:val="28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Member of doctoral Thesis Committee of the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Tahseen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Shirwani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tagged (Assessment of sports crises from the administrative perspective and media in the first class clubs in the Kurdistan Region) Faculty of Physical Education - University of Mosul 2015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9.عضو لجنة مناقشة رسالة ماجستير الطالب (شيخ موسى ديوالي) الموسومة (دور منظمات المجتمع المدني في بناء السلام) معهد دراسات السلام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القانون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دهوك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9. Member of Master's Thesis Committee of the student (Shaikh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Mousa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Diwali), The role of civil society organizations in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peacebuilding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, Institute of Peace Studies, Faculty of Law, Duhok University, 2015.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10.رئيس لجنة مناقشة رسالة ماجستير الطالبة (جيا ياسين) الموسومة (القيم الاجتماعية في البرامج الحوارية بقناة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NRT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الفضائية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دراسة ميدانية)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العلوم الانسانية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السليمانية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10.Chairman of Master's Thesis Committee of the student (Chia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Yasin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) tagged (social values </w:t>
            </w:r>
            <w:r w:rsidRPr="004F647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​​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in the programs of dialogue NRT channel), Media Department - Faculty of Human Science - University of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Sulaymaniyah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2015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11.رئيس لجنة مناقشة رسالة ماجستير الطالبة (هرمن نصر الدين) الموسومة (الضغوط المهنية على الاعلاميات في القنوات الفضائية 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 xml:space="preserve">الكوردية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دراسة ميدانية)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2015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 xml:space="preserve">11.Chairman of Master's Thesis Committee of the student (Herman Nasr 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Aldin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) tagged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(professional pressures on the media in the Kurdish satellite channels - field study) Media Department - Faculty of Arts - Salahaddin University 2015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 xml:space="preserve">12.عضو لجنة مناقشة رسالة ماجستير الظالبة (روان صبحي عبيد الله) الموسومة (تعرض النخبة السياسية للقنوات الفضائية الكوردية وأثره في اتخاذ القرارات السياسية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دراسة ميدانية)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2016  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12. Member of Master's Thesis Committee of the student (</w:t>
            </w:r>
            <w:proofErr w:type="spellStart"/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Rawan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Subhi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Obeid Allah) tagged (The political elite of the Kurdish satellite channels and its impact on political decision-making - a field study) Media Department - Faculty of Arts - Salahaddin University 2016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13.عضو لجنة مناقشة اطروحة دكتوراه الطالب (بهات حسب) الموسومة (القائم بالاتصال في القنوات الفضائية الفضائية الكوردية) قسم الاعلام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كلية الأداب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–</w:t>
            </w: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جامعة صلاح الدين 2016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13. Member of doctoral Thesis Committee of the student (</w:t>
            </w:r>
            <w:proofErr w:type="spellStart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Bahat</w:t>
            </w:r>
            <w:proofErr w:type="spellEnd"/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Hasseeb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) tagged (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Communication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in the Kurdish satellite channels) Media Department - Faculty of Arts - Salahaddin University 2016</w:t>
            </w:r>
          </w:p>
        </w:tc>
      </w:tr>
      <w:tr w:rsidR="002A7211" w:rsidRPr="004F647B" w:rsidTr="0048606A">
        <w:tc>
          <w:tcPr>
            <w:tcW w:w="4961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البحوث العلمية</w:t>
            </w:r>
          </w:p>
        </w:tc>
        <w:tc>
          <w:tcPr>
            <w:tcW w:w="5529" w:type="dxa"/>
            <w:gridSpan w:val="2"/>
            <w:shd w:val="clear" w:color="auto" w:fill="BFBFBF" w:themeFill="background1" w:themeFillShade="BF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</w:rPr>
              <w:t xml:space="preserve">Scientific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</w:rPr>
              <w:t>researches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1. دور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القنوات الفضائية الكوردية في تشكيل الاتجاهات السياسية تجاه ازمة تشكيل الحكومة العراقية / مجلة جامعة صلاح الدين 2012 (مشترك)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1.The role of Kurdish satellite channels in shaping political trends towards the crisis of forming the Iraqi government / Journal of Salahaddin University 2012 (joint)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2. ارهاصات التعددية في الاعلام الكردي / مجلة جامعة دهوك 2013 (مشترك)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2. Multiculturalism in the Kurdish Media / Duhok University Magazine 2013 (Joint)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D670B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3.دور الاعلانات التلفزيونية في تشجيع السلوك الشرائي لدى المستهلك /</w:t>
            </w:r>
            <w:r w:rsidR="002324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مجلة العلوم </w:t>
            </w:r>
            <w:r w:rsidR="00D670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لحديثة</w:t>
            </w:r>
            <w:r w:rsidR="00D67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="00D670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="002324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</w:t>
            </w:r>
            <w:r w:rsidR="00D670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لترائية</w:t>
            </w:r>
            <w:r w:rsidR="002324E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،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السويد</w:t>
            </w:r>
            <w:r w:rsidR="0011445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، العددي الأول / المجلد الثاني/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2014</w:t>
            </w:r>
            <w:r w:rsidR="00D670B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D670B3" w:rsidRPr="00D67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http://www.jmsh.eu/news.php?action=view&amp;id=41</w:t>
            </w:r>
          </w:p>
        </w:tc>
        <w:tc>
          <w:tcPr>
            <w:tcW w:w="5529" w:type="dxa"/>
            <w:gridSpan w:val="2"/>
          </w:tcPr>
          <w:p w:rsidR="002A7211" w:rsidRDefault="002A7211" w:rsidP="00951A92">
            <w:pPr>
              <w:bidi w:val="0"/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3.</w:t>
            </w:r>
            <w:r w:rsidR="00D670B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="00F01931" w:rsidRPr="00F01931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The Role of Television Advertising in Promoting Consumer Behavior / Journal of Science for Modern and </w:t>
            </w:r>
            <w:r w:rsidR="00951A92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Heritage</w:t>
            </w:r>
            <w:r w:rsidR="00F01931" w:rsidRPr="00F01931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, Sweden, Vol. I / Volume</w:t>
            </w:r>
            <w:r w:rsidR="00F01931">
              <w:rPr>
                <w:rFonts w:ascii="Arial" w:hAnsi="Arial" w:cs="Arial"/>
                <w:color w:val="212121"/>
                <w:shd w:val="clear" w:color="auto" w:fill="FFFFFF"/>
              </w:rPr>
              <w:t xml:space="preserve"> II / 2014</w:t>
            </w:r>
          </w:p>
          <w:p w:rsidR="00F139F1" w:rsidRPr="004F647B" w:rsidRDefault="00F139F1" w:rsidP="00F139F1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F139F1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http://www.jmsh.eu/news.php?action=view&amp;id=41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4.المسؤولية الاعلامية لانهيار الاتحاد السوفيتي \ مجلة جامعة رابرين 2016 (مشترك)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FC448A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4. Media Responsibility for the Collapse of the Soviet Union \ </w:t>
            </w:r>
            <w:r w:rsidRPr="004F647B"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  <w:t>Rabrin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University Journal 2016 (Joint)</w:t>
            </w:r>
          </w:p>
        </w:tc>
      </w:tr>
      <w:tr w:rsidR="002A7211" w:rsidRPr="004F647B" w:rsidTr="0048606A">
        <w:tc>
          <w:tcPr>
            <w:tcW w:w="4961" w:type="dxa"/>
            <w:gridSpan w:val="2"/>
          </w:tcPr>
          <w:p w:rsidR="002A7211" w:rsidRPr="004F647B" w:rsidRDefault="002A7211" w:rsidP="00FC44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5.الضغوط المهنية على الاعلاميات في القنوات الفضائية الكوردية \ دراسة ميدانية \ مجلة جامعة دهوك 2016 (مشترك)</w:t>
            </w:r>
          </w:p>
        </w:tc>
        <w:tc>
          <w:tcPr>
            <w:tcW w:w="5529" w:type="dxa"/>
            <w:gridSpan w:val="2"/>
          </w:tcPr>
          <w:p w:rsidR="002A7211" w:rsidRPr="004F647B" w:rsidRDefault="002A7211" w:rsidP="00970347">
            <w:pPr>
              <w:bidi w:val="0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5. Professional pressures on the media in the Kurdish satellite channels \ field study \ Journal 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lastRenderedPageBreak/>
              <w:t>of the University of D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u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h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o</w:t>
            </w:r>
            <w:r w:rsidRPr="004F647B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k 2016 (joint)</w:t>
            </w:r>
          </w:p>
        </w:tc>
      </w:tr>
    </w:tbl>
    <w:p w:rsidR="005D3EC4" w:rsidRPr="00970347" w:rsidRDefault="005D3EC4" w:rsidP="00FC448A">
      <w:pPr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sectPr w:rsidR="005D3EC4" w:rsidRPr="00970347" w:rsidSect="00744302">
      <w:head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FF" w:rsidRDefault="00723CFF" w:rsidP="0032730C">
      <w:pPr>
        <w:spacing w:after="0" w:line="240" w:lineRule="auto"/>
      </w:pPr>
      <w:r>
        <w:separator/>
      </w:r>
    </w:p>
  </w:endnote>
  <w:endnote w:type="continuationSeparator" w:id="0">
    <w:p w:rsidR="00723CFF" w:rsidRDefault="00723CFF" w:rsidP="0032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FF" w:rsidRDefault="00723CFF" w:rsidP="0032730C">
      <w:pPr>
        <w:spacing w:after="0" w:line="240" w:lineRule="auto"/>
      </w:pPr>
      <w:r>
        <w:separator/>
      </w:r>
    </w:p>
  </w:footnote>
  <w:footnote w:type="continuationSeparator" w:id="0">
    <w:p w:rsidR="00723CFF" w:rsidRDefault="00723CFF" w:rsidP="0032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6342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30C" w:rsidRDefault="0032730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35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32730C" w:rsidRDefault="00327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NLWwMDc0M7cwsjRU0lEKTi0uzszPAymwrAUAYA12wCwAAAA="/>
  </w:docVars>
  <w:rsids>
    <w:rsidRoot w:val="00752C6E"/>
    <w:rsid w:val="00002050"/>
    <w:rsid w:val="000035E1"/>
    <w:rsid w:val="00011284"/>
    <w:rsid w:val="00014C87"/>
    <w:rsid w:val="000163CD"/>
    <w:rsid w:val="00020770"/>
    <w:rsid w:val="00024071"/>
    <w:rsid w:val="0002572F"/>
    <w:rsid w:val="00030F2B"/>
    <w:rsid w:val="00034A7E"/>
    <w:rsid w:val="000440C3"/>
    <w:rsid w:val="000460FD"/>
    <w:rsid w:val="00046719"/>
    <w:rsid w:val="0004750A"/>
    <w:rsid w:val="00050996"/>
    <w:rsid w:val="000607FF"/>
    <w:rsid w:val="000609D6"/>
    <w:rsid w:val="00074E9F"/>
    <w:rsid w:val="0009195C"/>
    <w:rsid w:val="000943D0"/>
    <w:rsid w:val="000964CD"/>
    <w:rsid w:val="000A320C"/>
    <w:rsid w:val="000A4C0A"/>
    <w:rsid w:val="000A7FD4"/>
    <w:rsid w:val="000B0E47"/>
    <w:rsid w:val="000B1DBB"/>
    <w:rsid w:val="000B2B29"/>
    <w:rsid w:val="000B4D13"/>
    <w:rsid w:val="000B5ECB"/>
    <w:rsid w:val="000C5143"/>
    <w:rsid w:val="000E5406"/>
    <w:rsid w:val="000E5FB9"/>
    <w:rsid w:val="000E7AB7"/>
    <w:rsid w:val="000F0161"/>
    <w:rsid w:val="000F3C8A"/>
    <w:rsid w:val="000F3F4E"/>
    <w:rsid w:val="000F603A"/>
    <w:rsid w:val="000F77F3"/>
    <w:rsid w:val="00103958"/>
    <w:rsid w:val="00103F5C"/>
    <w:rsid w:val="0010553B"/>
    <w:rsid w:val="001060C0"/>
    <w:rsid w:val="00112E54"/>
    <w:rsid w:val="00114456"/>
    <w:rsid w:val="00114EA4"/>
    <w:rsid w:val="00120E9E"/>
    <w:rsid w:val="00126638"/>
    <w:rsid w:val="001334AC"/>
    <w:rsid w:val="00135CA1"/>
    <w:rsid w:val="0015519D"/>
    <w:rsid w:val="00160D58"/>
    <w:rsid w:val="00162FBA"/>
    <w:rsid w:val="0016637C"/>
    <w:rsid w:val="00171701"/>
    <w:rsid w:val="001725E4"/>
    <w:rsid w:val="001827D7"/>
    <w:rsid w:val="00184FDA"/>
    <w:rsid w:val="00185DB0"/>
    <w:rsid w:val="001877C7"/>
    <w:rsid w:val="001A4F3E"/>
    <w:rsid w:val="001A5719"/>
    <w:rsid w:val="001A5DC3"/>
    <w:rsid w:val="001A6827"/>
    <w:rsid w:val="001B13F5"/>
    <w:rsid w:val="001B65E0"/>
    <w:rsid w:val="001C2916"/>
    <w:rsid w:val="001C5B85"/>
    <w:rsid w:val="001D703E"/>
    <w:rsid w:val="001E670A"/>
    <w:rsid w:val="001E6DE9"/>
    <w:rsid w:val="001F0AB6"/>
    <w:rsid w:val="001F30D3"/>
    <w:rsid w:val="001F4305"/>
    <w:rsid w:val="001F6196"/>
    <w:rsid w:val="00204BFF"/>
    <w:rsid w:val="00206B64"/>
    <w:rsid w:val="00207468"/>
    <w:rsid w:val="00211569"/>
    <w:rsid w:val="00211856"/>
    <w:rsid w:val="00211AFC"/>
    <w:rsid w:val="00217166"/>
    <w:rsid w:val="0022636D"/>
    <w:rsid w:val="002301AF"/>
    <w:rsid w:val="002324EF"/>
    <w:rsid w:val="002352C1"/>
    <w:rsid w:val="0023690F"/>
    <w:rsid w:val="00236A04"/>
    <w:rsid w:val="00242B38"/>
    <w:rsid w:val="002448EC"/>
    <w:rsid w:val="00245C09"/>
    <w:rsid w:val="00245E6C"/>
    <w:rsid w:val="0025428C"/>
    <w:rsid w:val="002605B1"/>
    <w:rsid w:val="002605E9"/>
    <w:rsid w:val="00260A99"/>
    <w:rsid w:val="00263A54"/>
    <w:rsid w:val="00266162"/>
    <w:rsid w:val="00270CD0"/>
    <w:rsid w:val="00270D77"/>
    <w:rsid w:val="002728E1"/>
    <w:rsid w:val="00282FF6"/>
    <w:rsid w:val="00287FD0"/>
    <w:rsid w:val="002A1B22"/>
    <w:rsid w:val="002A6555"/>
    <w:rsid w:val="002A7211"/>
    <w:rsid w:val="002B09FD"/>
    <w:rsid w:val="002B175E"/>
    <w:rsid w:val="002B2C80"/>
    <w:rsid w:val="002B45DB"/>
    <w:rsid w:val="002B46D1"/>
    <w:rsid w:val="002B4E91"/>
    <w:rsid w:val="002B56C1"/>
    <w:rsid w:val="002C1584"/>
    <w:rsid w:val="002C4C20"/>
    <w:rsid w:val="002C5251"/>
    <w:rsid w:val="002D0958"/>
    <w:rsid w:val="002D1A62"/>
    <w:rsid w:val="002D46A0"/>
    <w:rsid w:val="002D56F1"/>
    <w:rsid w:val="002D752A"/>
    <w:rsid w:val="002E4367"/>
    <w:rsid w:val="002E5861"/>
    <w:rsid w:val="002E7E81"/>
    <w:rsid w:val="002F0B9C"/>
    <w:rsid w:val="002F15E7"/>
    <w:rsid w:val="002F61BA"/>
    <w:rsid w:val="002F659C"/>
    <w:rsid w:val="003018F6"/>
    <w:rsid w:val="00307724"/>
    <w:rsid w:val="00315C92"/>
    <w:rsid w:val="003214FF"/>
    <w:rsid w:val="00323572"/>
    <w:rsid w:val="00323E12"/>
    <w:rsid w:val="0032730C"/>
    <w:rsid w:val="00337D9A"/>
    <w:rsid w:val="00345CCC"/>
    <w:rsid w:val="0034746C"/>
    <w:rsid w:val="00350C6C"/>
    <w:rsid w:val="00354DAF"/>
    <w:rsid w:val="0035758B"/>
    <w:rsid w:val="00363873"/>
    <w:rsid w:val="00363B0E"/>
    <w:rsid w:val="003710AB"/>
    <w:rsid w:val="00371A93"/>
    <w:rsid w:val="00376102"/>
    <w:rsid w:val="003769C5"/>
    <w:rsid w:val="00384F8C"/>
    <w:rsid w:val="00387432"/>
    <w:rsid w:val="00393A37"/>
    <w:rsid w:val="00397D12"/>
    <w:rsid w:val="00397D61"/>
    <w:rsid w:val="00397D8C"/>
    <w:rsid w:val="00397E88"/>
    <w:rsid w:val="003A011F"/>
    <w:rsid w:val="003A15B4"/>
    <w:rsid w:val="003A1C42"/>
    <w:rsid w:val="003A6969"/>
    <w:rsid w:val="003A7DB9"/>
    <w:rsid w:val="003B5269"/>
    <w:rsid w:val="003B72B8"/>
    <w:rsid w:val="003B7F98"/>
    <w:rsid w:val="003C3F78"/>
    <w:rsid w:val="003C48EA"/>
    <w:rsid w:val="003D42CB"/>
    <w:rsid w:val="003D7740"/>
    <w:rsid w:val="003E3B1D"/>
    <w:rsid w:val="003E4B5C"/>
    <w:rsid w:val="003F38E3"/>
    <w:rsid w:val="003F5FF3"/>
    <w:rsid w:val="003F6E2C"/>
    <w:rsid w:val="00400646"/>
    <w:rsid w:val="00400E23"/>
    <w:rsid w:val="004028B5"/>
    <w:rsid w:val="00402B83"/>
    <w:rsid w:val="00404F81"/>
    <w:rsid w:val="00421405"/>
    <w:rsid w:val="00426B7B"/>
    <w:rsid w:val="00431CBB"/>
    <w:rsid w:val="00441654"/>
    <w:rsid w:val="00444820"/>
    <w:rsid w:val="00455458"/>
    <w:rsid w:val="00456FE1"/>
    <w:rsid w:val="00463A86"/>
    <w:rsid w:val="00474115"/>
    <w:rsid w:val="0048013C"/>
    <w:rsid w:val="00483045"/>
    <w:rsid w:val="004839A2"/>
    <w:rsid w:val="004851E7"/>
    <w:rsid w:val="0048606A"/>
    <w:rsid w:val="00495C74"/>
    <w:rsid w:val="004B59F0"/>
    <w:rsid w:val="004C317D"/>
    <w:rsid w:val="004C3674"/>
    <w:rsid w:val="004C471E"/>
    <w:rsid w:val="004C58E5"/>
    <w:rsid w:val="004C7E1D"/>
    <w:rsid w:val="004D4AB1"/>
    <w:rsid w:val="004D62C7"/>
    <w:rsid w:val="004E07FE"/>
    <w:rsid w:val="004F467B"/>
    <w:rsid w:val="004F647B"/>
    <w:rsid w:val="00511C47"/>
    <w:rsid w:val="00512983"/>
    <w:rsid w:val="00512A58"/>
    <w:rsid w:val="00513E5F"/>
    <w:rsid w:val="00513FCF"/>
    <w:rsid w:val="005153D1"/>
    <w:rsid w:val="00516683"/>
    <w:rsid w:val="00523777"/>
    <w:rsid w:val="00526CDC"/>
    <w:rsid w:val="0053043B"/>
    <w:rsid w:val="00530A5E"/>
    <w:rsid w:val="00531139"/>
    <w:rsid w:val="00552A70"/>
    <w:rsid w:val="00552FF9"/>
    <w:rsid w:val="00561465"/>
    <w:rsid w:val="00564638"/>
    <w:rsid w:val="005706B1"/>
    <w:rsid w:val="00573961"/>
    <w:rsid w:val="0058043D"/>
    <w:rsid w:val="00580E22"/>
    <w:rsid w:val="0058605A"/>
    <w:rsid w:val="00595EBB"/>
    <w:rsid w:val="005A498D"/>
    <w:rsid w:val="005A581F"/>
    <w:rsid w:val="005A5EF0"/>
    <w:rsid w:val="005B1AA2"/>
    <w:rsid w:val="005B4A10"/>
    <w:rsid w:val="005C04F8"/>
    <w:rsid w:val="005C131A"/>
    <w:rsid w:val="005C3F39"/>
    <w:rsid w:val="005C70B8"/>
    <w:rsid w:val="005D3EC4"/>
    <w:rsid w:val="005D6129"/>
    <w:rsid w:val="005E62BF"/>
    <w:rsid w:val="005E782E"/>
    <w:rsid w:val="005F1B42"/>
    <w:rsid w:val="00605D4B"/>
    <w:rsid w:val="0061636E"/>
    <w:rsid w:val="00616E7D"/>
    <w:rsid w:val="00620A24"/>
    <w:rsid w:val="00621904"/>
    <w:rsid w:val="00627A44"/>
    <w:rsid w:val="00632430"/>
    <w:rsid w:val="00635F39"/>
    <w:rsid w:val="0064006B"/>
    <w:rsid w:val="0064119B"/>
    <w:rsid w:val="006426B6"/>
    <w:rsid w:val="00647E21"/>
    <w:rsid w:val="00652854"/>
    <w:rsid w:val="006610BF"/>
    <w:rsid w:val="00666EA3"/>
    <w:rsid w:val="006703A3"/>
    <w:rsid w:val="0067089E"/>
    <w:rsid w:val="00670B46"/>
    <w:rsid w:val="00671890"/>
    <w:rsid w:val="006720BC"/>
    <w:rsid w:val="00673753"/>
    <w:rsid w:val="0068759C"/>
    <w:rsid w:val="0069419B"/>
    <w:rsid w:val="00696BAD"/>
    <w:rsid w:val="006A107F"/>
    <w:rsid w:val="006B1AB4"/>
    <w:rsid w:val="006B3BFB"/>
    <w:rsid w:val="006B6339"/>
    <w:rsid w:val="006B6B19"/>
    <w:rsid w:val="006C54FE"/>
    <w:rsid w:val="006D0787"/>
    <w:rsid w:val="006D324F"/>
    <w:rsid w:val="006D556C"/>
    <w:rsid w:val="006E32BC"/>
    <w:rsid w:val="006E35AC"/>
    <w:rsid w:val="006E51EC"/>
    <w:rsid w:val="006E710E"/>
    <w:rsid w:val="006F390D"/>
    <w:rsid w:val="006F7C6D"/>
    <w:rsid w:val="00713F53"/>
    <w:rsid w:val="00723CFF"/>
    <w:rsid w:val="0072509B"/>
    <w:rsid w:val="00740F66"/>
    <w:rsid w:val="0074265A"/>
    <w:rsid w:val="00742B65"/>
    <w:rsid w:val="0074335C"/>
    <w:rsid w:val="00744302"/>
    <w:rsid w:val="00745E28"/>
    <w:rsid w:val="00746888"/>
    <w:rsid w:val="00752C6E"/>
    <w:rsid w:val="007533C7"/>
    <w:rsid w:val="00761D47"/>
    <w:rsid w:val="00765889"/>
    <w:rsid w:val="00766B95"/>
    <w:rsid w:val="00767824"/>
    <w:rsid w:val="00774FCD"/>
    <w:rsid w:val="0078053C"/>
    <w:rsid w:val="007806F0"/>
    <w:rsid w:val="007859BD"/>
    <w:rsid w:val="00786642"/>
    <w:rsid w:val="00790EAA"/>
    <w:rsid w:val="00796DD2"/>
    <w:rsid w:val="007B2D88"/>
    <w:rsid w:val="007B7C49"/>
    <w:rsid w:val="007C584D"/>
    <w:rsid w:val="007C6DE2"/>
    <w:rsid w:val="007D6369"/>
    <w:rsid w:val="007F1F06"/>
    <w:rsid w:val="007F2CAE"/>
    <w:rsid w:val="007F4A08"/>
    <w:rsid w:val="007F4CE1"/>
    <w:rsid w:val="007F6E95"/>
    <w:rsid w:val="008048B7"/>
    <w:rsid w:val="00805AC3"/>
    <w:rsid w:val="00811DA9"/>
    <w:rsid w:val="00813E6A"/>
    <w:rsid w:val="0082799B"/>
    <w:rsid w:val="00833924"/>
    <w:rsid w:val="00835ED4"/>
    <w:rsid w:val="0084113A"/>
    <w:rsid w:val="00845661"/>
    <w:rsid w:val="00850F54"/>
    <w:rsid w:val="008529F6"/>
    <w:rsid w:val="0085387C"/>
    <w:rsid w:val="00863AF2"/>
    <w:rsid w:val="00872030"/>
    <w:rsid w:val="008743F7"/>
    <w:rsid w:val="00874DB7"/>
    <w:rsid w:val="00877AEB"/>
    <w:rsid w:val="00877FA7"/>
    <w:rsid w:val="008833AC"/>
    <w:rsid w:val="00883B02"/>
    <w:rsid w:val="00892600"/>
    <w:rsid w:val="008947D6"/>
    <w:rsid w:val="008949FC"/>
    <w:rsid w:val="008A1A69"/>
    <w:rsid w:val="008B015D"/>
    <w:rsid w:val="008B5198"/>
    <w:rsid w:val="008C384B"/>
    <w:rsid w:val="008C5B8C"/>
    <w:rsid w:val="008D08B5"/>
    <w:rsid w:val="008D6904"/>
    <w:rsid w:val="008D6D68"/>
    <w:rsid w:val="008E78DE"/>
    <w:rsid w:val="008F67B8"/>
    <w:rsid w:val="00900F46"/>
    <w:rsid w:val="00904BB7"/>
    <w:rsid w:val="0091631D"/>
    <w:rsid w:val="00916E9F"/>
    <w:rsid w:val="00927DED"/>
    <w:rsid w:val="00932C7E"/>
    <w:rsid w:val="00933EDE"/>
    <w:rsid w:val="009360A5"/>
    <w:rsid w:val="00941F86"/>
    <w:rsid w:val="00942C12"/>
    <w:rsid w:val="009444E6"/>
    <w:rsid w:val="00944FDA"/>
    <w:rsid w:val="0094561F"/>
    <w:rsid w:val="00951A92"/>
    <w:rsid w:val="009700AB"/>
    <w:rsid w:val="00970347"/>
    <w:rsid w:val="00970CBC"/>
    <w:rsid w:val="009765D0"/>
    <w:rsid w:val="00982DE3"/>
    <w:rsid w:val="00983B92"/>
    <w:rsid w:val="00985686"/>
    <w:rsid w:val="00990CBB"/>
    <w:rsid w:val="00991080"/>
    <w:rsid w:val="00991863"/>
    <w:rsid w:val="009A5EC5"/>
    <w:rsid w:val="009C1CE7"/>
    <w:rsid w:val="009D4641"/>
    <w:rsid w:val="009D7295"/>
    <w:rsid w:val="009E1975"/>
    <w:rsid w:val="009E2934"/>
    <w:rsid w:val="009E3138"/>
    <w:rsid w:val="009F7C42"/>
    <w:rsid w:val="00A01C45"/>
    <w:rsid w:val="00A0656A"/>
    <w:rsid w:val="00A069D9"/>
    <w:rsid w:val="00A07365"/>
    <w:rsid w:val="00A07A4A"/>
    <w:rsid w:val="00A15F54"/>
    <w:rsid w:val="00A172A3"/>
    <w:rsid w:val="00A2052C"/>
    <w:rsid w:val="00A31574"/>
    <w:rsid w:val="00A3762D"/>
    <w:rsid w:val="00A41182"/>
    <w:rsid w:val="00A42585"/>
    <w:rsid w:val="00A427F5"/>
    <w:rsid w:val="00A432CD"/>
    <w:rsid w:val="00A46684"/>
    <w:rsid w:val="00A5205C"/>
    <w:rsid w:val="00A52424"/>
    <w:rsid w:val="00A70CCB"/>
    <w:rsid w:val="00A72C4C"/>
    <w:rsid w:val="00A7782B"/>
    <w:rsid w:val="00A85DD1"/>
    <w:rsid w:val="00A85F8C"/>
    <w:rsid w:val="00A87243"/>
    <w:rsid w:val="00A97B5D"/>
    <w:rsid w:val="00AA6CAA"/>
    <w:rsid w:val="00AB694E"/>
    <w:rsid w:val="00AC3878"/>
    <w:rsid w:val="00AC3D4A"/>
    <w:rsid w:val="00AC66B1"/>
    <w:rsid w:val="00AD26E5"/>
    <w:rsid w:val="00AD7A45"/>
    <w:rsid w:val="00AE337E"/>
    <w:rsid w:val="00AE4433"/>
    <w:rsid w:val="00AE573E"/>
    <w:rsid w:val="00AE75B5"/>
    <w:rsid w:val="00AF5C32"/>
    <w:rsid w:val="00AF7BBE"/>
    <w:rsid w:val="00B02B17"/>
    <w:rsid w:val="00B044A2"/>
    <w:rsid w:val="00B1183D"/>
    <w:rsid w:val="00B1464C"/>
    <w:rsid w:val="00B20ACA"/>
    <w:rsid w:val="00B27E8E"/>
    <w:rsid w:val="00B30304"/>
    <w:rsid w:val="00B344B7"/>
    <w:rsid w:val="00B43171"/>
    <w:rsid w:val="00B433C1"/>
    <w:rsid w:val="00B44ED7"/>
    <w:rsid w:val="00B51598"/>
    <w:rsid w:val="00B56C1F"/>
    <w:rsid w:val="00B72167"/>
    <w:rsid w:val="00B82812"/>
    <w:rsid w:val="00B86125"/>
    <w:rsid w:val="00B8684A"/>
    <w:rsid w:val="00B87254"/>
    <w:rsid w:val="00B92D98"/>
    <w:rsid w:val="00B9452F"/>
    <w:rsid w:val="00BA5798"/>
    <w:rsid w:val="00BB19A9"/>
    <w:rsid w:val="00BB2C37"/>
    <w:rsid w:val="00BB6C78"/>
    <w:rsid w:val="00BC6EB8"/>
    <w:rsid w:val="00BD556D"/>
    <w:rsid w:val="00BD7430"/>
    <w:rsid w:val="00BF1C4E"/>
    <w:rsid w:val="00BF74B4"/>
    <w:rsid w:val="00C01150"/>
    <w:rsid w:val="00C05CF5"/>
    <w:rsid w:val="00C125D4"/>
    <w:rsid w:val="00C13641"/>
    <w:rsid w:val="00C15D7D"/>
    <w:rsid w:val="00C164FD"/>
    <w:rsid w:val="00C169DC"/>
    <w:rsid w:val="00C248F3"/>
    <w:rsid w:val="00C263FC"/>
    <w:rsid w:val="00C26A6D"/>
    <w:rsid w:val="00C27C86"/>
    <w:rsid w:val="00C34E21"/>
    <w:rsid w:val="00C411AC"/>
    <w:rsid w:val="00C41ED4"/>
    <w:rsid w:val="00C42B62"/>
    <w:rsid w:val="00C54DD1"/>
    <w:rsid w:val="00C57049"/>
    <w:rsid w:val="00C57693"/>
    <w:rsid w:val="00C61FCB"/>
    <w:rsid w:val="00C639F2"/>
    <w:rsid w:val="00C63A5F"/>
    <w:rsid w:val="00C66CE8"/>
    <w:rsid w:val="00C70AB4"/>
    <w:rsid w:val="00C71371"/>
    <w:rsid w:val="00C72DB6"/>
    <w:rsid w:val="00C74336"/>
    <w:rsid w:val="00C758CC"/>
    <w:rsid w:val="00C77AFF"/>
    <w:rsid w:val="00C820E6"/>
    <w:rsid w:val="00C82AD5"/>
    <w:rsid w:val="00C8389D"/>
    <w:rsid w:val="00C97C63"/>
    <w:rsid w:val="00CA0876"/>
    <w:rsid w:val="00CA3531"/>
    <w:rsid w:val="00CB45DF"/>
    <w:rsid w:val="00CB555C"/>
    <w:rsid w:val="00CC630C"/>
    <w:rsid w:val="00CD068A"/>
    <w:rsid w:val="00CD2004"/>
    <w:rsid w:val="00CD2FDE"/>
    <w:rsid w:val="00CD4E03"/>
    <w:rsid w:val="00CD52FD"/>
    <w:rsid w:val="00D02DF0"/>
    <w:rsid w:val="00D03746"/>
    <w:rsid w:val="00D06FD2"/>
    <w:rsid w:val="00D22DD8"/>
    <w:rsid w:val="00D24459"/>
    <w:rsid w:val="00D246C1"/>
    <w:rsid w:val="00D27769"/>
    <w:rsid w:val="00D32D51"/>
    <w:rsid w:val="00D35039"/>
    <w:rsid w:val="00D3554B"/>
    <w:rsid w:val="00D371E7"/>
    <w:rsid w:val="00D401BE"/>
    <w:rsid w:val="00D4096C"/>
    <w:rsid w:val="00D41B15"/>
    <w:rsid w:val="00D42E1F"/>
    <w:rsid w:val="00D44A0E"/>
    <w:rsid w:val="00D516E4"/>
    <w:rsid w:val="00D54157"/>
    <w:rsid w:val="00D61446"/>
    <w:rsid w:val="00D6238D"/>
    <w:rsid w:val="00D62E00"/>
    <w:rsid w:val="00D670B3"/>
    <w:rsid w:val="00D678A0"/>
    <w:rsid w:val="00D8696E"/>
    <w:rsid w:val="00D92A29"/>
    <w:rsid w:val="00D94E52"/>
    <w:rsid w:val="00D965F4"/>
    <w:rsid w:val="00DA0861"/>
    <w:rsid w:val="00DA6895"/>
    <w:rsid w:val="00DB0204"/>
    <w:rsid w:val="00DB6A49"/>
    <w:rsid w:val="00DD4793"/>
    <w:rsid w:val="00DE3D17"/>
    <w:rsid w:val="00DE7BD9"/>
    <w:rsid w:val="00DF340F"/>
    <w:rsid w:val="00DF758C"/>
    <w:rsid w:val="00E005A8"/>
    <w:rsid w:val="00E00A0A"/>
    <w:rsid w:val="00E04717"/>
    <w:rsid w:val="00E071E0"/>
    <w:rsid w:val="00E17E03"/>
    <w:rsid w:val="00E21DF8"/>
    <w:rsid w:val="00E25B5E"/>
    <w:rsid w:val="00E3212C"/>
    <w:rsid w:val="00E55B57"/>
    <w:rsid w:val="00E70BC9"/>
    <w:rsid w:val="00E73ED0"/>
    <w:rsid w:val="00E762C0"/>
    <w:rsid w:val="00E77983"/>
    <w:rsid w:val="00E77ABE"/>
    <w:rsid w:val="00E77C4C"/>
    <w:rsid w:val="00E93169"/>
    <w:rsid w:val="00E957C2"/>
    <w:rsid w:val="00EA3597"/>
    <w:rsid w:val="00EA5064"/>
    <w:rsid w:val="00EA594B"/>
    <w:rsid w:val="00EB6A32"/>
    <w:rsid w:val="00EC0D8D"/>
    <w:rsid w:val="00EC39ED"/>
    <w:rsid w:val="00ED1884"/>
    <w:rsid w:val="00ED4138"/>
    <w:rsid w:val="00ED4A93"/>
    <w:rsid w:val="00ED79E6"/>
    <w:rsid w:val="00EE0BAB"/>
    <w:rsid w:val="00EE65CB"/>
    <w:rsid w:val="00EE6902"/>
    <w:rsid w:val="00EE6E84"/>
    <w:rsid w:val="00EF1631"/>
    <w:rsid w:val="00EF445D"/>
    <w:rsid w:val="00F01931"/>
    <w:rsid w:val="00F10A5D"/>
    <w:rsid w:val="00F13054"/>
    <w:rsid w:val="00F139F1"/>
    <w:rsid w:val="00F243DD"/>
    <w:rsid w:val="00F36167"/>
    <w:rsid w:val="00F4073A"/>
    <w:rsid w:val="00F4221F"/>
    <w:rsid w:val="00F434D4"/>
    <w:rsid w:val="00F435F3"/>
    <w:rsid w:val="00F4686B"/>
    <w:rsid w:val="00F46899"/>
    <w:rsid w:val="00F505AB"/>
    <w:rsid w:val="00F5261F"/>
    <w:rsid w:val="00F5687B"/>
    <w:rsid w:val="00F60330"/>
    <w:rsid w:val="00F63054"/>
    <w:rsid w:val="00F63229"/>
    <w:rsid w:val="00F7235D"/>
    <w:rsid w:val="00F74265"/>
    <w:rsid w:val="00F81DDF"/>
    <w:rsid w:val="00F82EEE"/>
    <w:rsid w:val="00F86DF2"/>
    <w:rsid w:val="00F903D5"/>
    <w:rsid w:val="00F90DE0"/>
    <w:rsid w:val="00F923AB"/>
    <w:rsid w:val="00F92AA3"/>
    <w:rsid w:val="00F9430D"/>
    <w:rsid w:val="00F944ED"/>
    <w:rsid w:val="00FA3CBA"/>
    <w:rsid w:val="00FA50C7"/>
    <w:rsid w:val="00FA5975"/>
    <w:rsid w:val="00FB60D9"/>
    <w:rsid w:val="00FB652B"/>
    <w:rsid w:val="00FC448A"/>
    <w:rsid w:val="00FD0733"/>
    <w:rsid w:val="00FD453D"/>
    <w:rsid w:val="00FD4A9B"/>
    <w:rsid w:val="00FE195D"/>
    <w:rsid w:val="00FE1E96"/>
    <w:rsid w:val="00FE717E"/>
    <w:rsid w:val="00FE7704"/>
    <w:rsid w:val="00FF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38"/>
    <w:pPr>
      <w:ind w:left="720"/>
      <w:contextualSpacing/>
    </w:pPr>
  </w:style>
  <w:style w:type="table" w:styleId="TableGrid">
    <w:name w:val="Table Grid"/>
    <w:basedOn w:val="TableNormal"/>
    <w:uiPriority w:val="59"/>
    <w:rsid w:val="0084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2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0B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0C"/>
  </w:style>
  <w:style w:type="paragraph" w:styleId="Footer">
    <w:name w:val="footer"/>
    <w:basedOn w:val="Normal"/>
    <w:link w:val="FooterChar"/>
    <w:uiPriority w:val="99"/>
    <w:unhideWhenUsed/>
    <w:rsid w:val="0032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0C"/>
  </w:style>
  <w:style w:type="character" w:styleId="Emphasis">
    <w:name w:val="Emphasis"/>
    <w:basedOn w:val="DefaultParagraphFont"/>
    <w:uiPriority w:val="20"/>
    <w:qFormat/>
    <w:rsid w:val="00BF1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C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138"/>
    <w:pPr>
      <w:ind w:left="720"/>
      <w:contextualSpacing/>
    </w:pPr>
  </w:style>
  <w:style w:type="table" w:styleId="TableGrid">
    <w:name w:val="Table Grid"/>
    <w:basedOn w:val="TableNormal"/>
    <w:uiPriority w:val="59"/>
    <w:rsid w:val="0084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72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20B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0C"/>
  </w:style>
  <w:style w:type="paragraph" w:styleId="Footer">
    <w:name w:val="footer"/>
    <w:basedOn w:val="Normal"/>
    <w:link w:val="FooterChar"/>
    <w:uiPriority w:val="99"/>
    <w:unhideWhenUsed/>
    <w:rsid w:val="0032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0C"/>
  </w:style>
  <w:style w:type="character" w:styleId="Emphasis">
    <w:name w:val="Emphasis"/>
    <w:basedOn w:val="DefaultParagraphFont"/>
    <w:uiPriority w:val="20"/>
    <w:qFormat/>
    <w:rsid w:val="00BF1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habeeb1975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.habeeb1975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14CF-3FA0-420D-B3E2-EF7D2323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Dr.Habeeb</dc:creator>
  <cp:lastModifiedBy>n0ak95</cp:lastModifiedBy>
  <cp:revision>34</cp:revision>
  <cp:lastPrinted>2017-05-08T12:01:00Z</cp:lastPrinted>
  <dcterms:created xsi:type="dcterms:W3CDTF">2017-04-01T20:09:00Z</dcterms:created>
  <dcterms:modified xsi:type="dcterms:W3CDTF">2017-09-11T14:10:00Z</dcterms:modified>
</cp:coreProperties>
</file>