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سيرة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c0c0c0" w:val="clear"/>
        <w:bidi w:val="1"/>
        <w:ind w:left="0" w:right="0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البيانات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الشخصية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ab/>
        <w:tab/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هويدا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سليمان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حماد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العنوان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ab/>
        <w:t xml:space="preserve">: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منزل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سليمان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قرية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تلات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مركز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الفيوم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محافظة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الفيوم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موبايل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00201005302303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 xml:space="preserve">: </w:t>
      </w:r>
      <w:hyperlink r:id="rId6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hdata55@gmail.com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c0c0c0" w:val="clear"/>
        <w:bidi w:val="1"/>
        <w:ind w:left="0" w:right="0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before="240" w:lineRule="auto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المؤهل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ab/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الآداب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الفلسفة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التحقت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بالدورة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التدريبية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للباحثين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والمعدين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مركز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البحوث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التابع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لكلية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الاداب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قمت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دبلومة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الافريقية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معهد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والبحوث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الافريقية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بتقدير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جدا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ماجستير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الافريقية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الانثربولوجيا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شهادة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لغة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الإشارة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72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c0c0c0" w:val="clear"/>
        <w:bidi w:val="1"/>
        <w:ind w:left="0" w:right="0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المهارات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before="240" w:lineRule="auto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الكمبيوتر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  <w:tab/>
        <w:tab/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مستخدم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للكمبيوتر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الويندوز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والانترنت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before="240" w:lineRule="auto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الأم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before="240" w:lineRule="auto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الانجليزية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c0c0c0" w:val="clear"/>
        <w:bidi w:val="1"/>
        <w:ind w:left="0" w:right="0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السابقة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spacing w:before="240" w:lineRule="auto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باحثة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ميدانية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المركز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القومي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للبحوث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الجنائية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والاجتماعية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اكثر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شركة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ابحاث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ميدانية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تسويقية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لازلت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تحليل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بروتوكولات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حكماء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صهيون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تحت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النشر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الارشف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القومي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للفلكلور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التراث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لقد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قمت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بدارسة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العديد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الموضوعات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ومنها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_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الحرف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والصناعات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اليدوية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وتضم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الاثاث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يشمل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حرفة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النجارة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والنحث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الخشب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والاستورجي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والمنجداني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ونجار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مسلح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الكارو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والحنطور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الرقبية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سروجية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الخيول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تنجيد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بلدي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غزل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البنات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نجار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وشباك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نحت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نحاس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الدباغة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خراطة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النحاس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صناعة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الاحذية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صناعة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وترتيب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الزهور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الخيامية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الصناعات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القائمة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جريد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النخيل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وتشمل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الاقفاص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والكراسي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.................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سجاد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بردي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الاربيسك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.............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عادات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وتقاليد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الزواج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تجميع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تجهيزات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اربع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حفلات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زفاف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البداية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النهاية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تجميع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قبائل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الفيوم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تجميع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الموسيقي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ببدو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الفيوم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الاسواق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المعتقدات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بزيارة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الاولية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والمقامات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الطب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الاعشاب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الجزامة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.,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والكي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الموسيقي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عادات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وتقاليد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الميلاد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الالعاب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القانون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وكيل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مدرسة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لمدة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5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سنوات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left="72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حاليا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والتعليم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أخصائي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بإدارة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المدارس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الرسمية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لغات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مشروع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لتطوير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بإدارة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المدارس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الرسمية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لغات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أدرة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المشروعات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الإعلامية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احد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القنوات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الفضائية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التسويق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لبعض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القنوات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اخصائي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بوزارة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والتعليم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بمؤتمر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والاعاقة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وتحدي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الاعاقة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بمؤتمر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مركز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c0c0c0" w:val="clear"/>
        <w:bidi w:val="1"/>
        <w:ind w:left="0" w:right="0"/>
        <w:jc w:val="left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الهوايات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القراءة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اليوجا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الموسيقى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السفر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تربية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الحيوانات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الأبحاث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السياسية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before="240" w:lineRule="auto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ind w:left="0" w:right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c0c0c0" w:val="clear"/>
        <w:bidi w:val="1"/>
        <w:spacing w:before="240" w:lineRule="auto"/>
        <w:jc w:val="center"/>
        <w:rPr>
          <w:rFonts w:ascii="Arial Black" w:cs="Arial Black" w:eastAsia="Arial Black" w:hAnsi="Arial Black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8"/>
          <w:szCs w:val="28"/>
          <w:vertAlign w:val="baseline"/>
          <w:rtl w:val="0"/>
        </w:rPr>
        <w:t xml:space="preserve">HOAYDA MOHAMMED AHMED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Villa M.Ahmed Solayman, Talat Village, Fayyoum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Mobile 01006492100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Email hdata55@gmail.com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c0c0c0" w:val="clear"/>
        <w:bidi w:val="1"/>
        <w:jc w:val="both"/>
        <w:rPr>
          <w:rFonts w:ascii="Bookman Old Style" w:cs="Bookman Old Style" w:eastAsia="Bookman Old Style" w:hAnsi="Bookman Old Style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vertAlign w:val="baseline"/>
          <w:rtl w:val="0"/>
        </w:rPr>
        <w:t xml:space="preserve">QUALIFICATION: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University </w:t>
        <w:tab/>
        <w:tab/>
        <w:t xml:space="preserve">: Ain Shams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Faculty </w:t>
        <w:tab/>
        <w:tab/>
        <w:t xml:space="preserve">: Faculty of Arts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Department </w:t>
        <w:tab/>
        <w:t xml:space="preserve">: Philosophy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 I performed A training course for researchers and applicants in The Social Researches Centre, Faculty of Arts , Cairo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 I performed a diploma in "African Studies" from The Institute of African Researches and Studies , Cairo University ( Grade very good)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Planning to PhD in "Political Anthropology", Cairo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c0c0c0" w:val="clear"/>
        <w:bidi w:val="1"/>
        <w:jc w:val="both"/>
        <w:rPr>
          <w:rFonts w:ascii="Bookman Old Style" w:cs="Bookman Old Style" w:eastAsia="Bookman Old Style" w:hAnsi="Bookman Old Style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vertAlign w:val="baseline"/>
          <w:rtl w:val="0"/>
        </w:rPr>
        <w:t xml:space="preserve">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Computer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:  Good command of computer using (Windows/ Internet)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ind w:left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Language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ind w:left="216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Arabic </w:t>
        <w:tab/>
        <w:t xml:space="preserve">: Mother Tongue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ind w:left="216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English </w:t>
        <w:tab/>
        <w:t xml:space="preserve">: Second Language (Good)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c0c0c0" w:val="clear"/>
        <w:bidi w:val="1"/>
        <w:jc w:val="both"/>
        <w:rPr>
          <w:rFonts w:ascii="Bookman Old Style" w:cs="Bookman Old Style" w:eastAsia="Bookman Old Style" w:hAnsi="Bookman Old Style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vertAlign w:val="baseline"/>
          <w:rtl w:val="0"/>
        </w:rPr>
        <w:t xml:space="preserve">EXPERIENCES: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bidi w:val="1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Field Researcher at The national centre for criminal and social researches in many companies of marketing field researches (and still working at them).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bidi w:val="1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Analyzing Zionist Wise men Protocols.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shd w:fill="e6ecf9" w:val="clear"/>
          <w:vertAlign w:val="baseline"/>
          <w:rtl w:val="0"/>
        </w:rPr>
        <w:t xml:space="preserve">Alarcev National Folklore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 in the folklore of Kdqmt conducted a Alaadidinm topics, including </w:t>
      </w:r>
      <w:r w:rsidDel="00000000" w:rsidR="00000000" w:rsidRPr="00000000">
        <w:rPr>
          <w:b w:val="1"/>
          <w:sz w:val="28"/>
          <w:szCs w:val="28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_ Crafts, handicrafts, and includes: furniture, including carpentry and Alnges wood and Alastorgi and Almnjaddani., Carpenter gunman., Vehicle Karo and Rockaway., Cervical., Srougip horses., Upholstery my country., Yarn girls., A carpenter door and window. Sculpture in copper. , tanning., turning copper., the shoe industry., Industry and arrange flowers., Alkhiamip., industries based on palm fronds include cages, chairs, etc. .................., Carpet Brady ., Alarpesc ............. etc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jc w:val="left"/>
        <w:rPr>
          <w:b w:val="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Study habits and traditions of marriage., Was compiled equipment four weddings from beginning to 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jc w:val="left"/>
        <w:rPr>
          <w:b w:val="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Compilation Date tribes Fayoum </w:t>
        <w:br w:type="textWrapping"/>
        <w:t xml:space="preserve">- Compilation of popular music nomads Fayoum </w:t>
        <w:br w:type="textWrapping"/>
        <w:t xml:space="preserve">- The popular markets </w:t>
        <w:br w:type="textWrapping"/>
        <w:t xml:space="preserve">- Visit the initial beliefs and degrees </w:t>
        <w:br w:type="textWrapping"/>
        <w:t xml:space="preserve">- Traditional medicine (herbs., Aldzamp., Ironing)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shd w:fill="e6ecf9" w:val="clear"/>
          <w:vertAlign w:val="baseline"/>
          <w:rtl w:val="0"/>
        </w:rPr>
        <w:t xml:space="preserve">- Popular music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- Customs and traditions date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- Games People</w:t>
        <w:br w:type="textWrapping"/>
        <w:t xml:space="preserve">- Aleghanpn customary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c0c0c0" w:val="clear"/>
        <w:bidi w:val="1"/>
        <w:jc w:val="both"/>
        <w:rPr>
          <w:rFonts w:ascii="Bookman Old Style" w:cs="Bookman Old Style" w:eastAsia="Bookman Old Style" w:hAnsi="Bookman Old Style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8"/>
          <w:szCs w:val="28"/>
          <w:vertAlign w:val="baseline"/>
          <w:rtl w:val="0"/>
        </w:rPr>
        <w:t xml:space="preserve">HOBBIES: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ind w:left="72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"Reading – UGA sport – Music – Traveling – animals caring – drawing -  Political researches"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لوقائع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107 -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186</w:t>
      </w:r>
      <w:r w:rsidDel="00000000" w:rsidR="00000000" w:rsidRPr="00000000">
        <w:rPr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7B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1434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11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2013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7C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</w:p>
    <w:p w:rsidR="00000000" w:rsidDel="00000000" w:rsidP="00000000" w:rsidRDefault="00000000" w:rsidRPr="00000000" w14:paraId="0000007E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114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2013</w:t>
      </w:r>
    </w:p>
    <w:p w:rsidR="00000000" w:rsidDel="00000000" w:rsidP="00000000" w:rsidRDefault="00000000" w:rsidRPr="00000000" w14:paraId="0000007F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16/ 4/ 2013</w:t>
      </w:r>
    </w:p>
    <w:p w:rsidR="00000000" w:rsidDel="00000000" w:rsidP="00000000" w:rsidRDefault="00000000" w:rsidRPr="00000000" w14:paraId="00000080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</w:p>
    <w:p w:rsidR="00000000" w:rsidDel="00000000" w:rsidP="00000000" w:rsidRDefault="00000000" w:rsidRPr="00000000" w14:paraId="00000081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</w:p>
    <w:p w:rsidR="00000000" w:rsidDel="00000000" w:rsidP="00000000" w:rsidRDefault="00000000" w:rsidRPr="00000000" w14:paraId="00000083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139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1981 </w:t>
      </w:r>
      <w:r w:rsidDel="00000000" w:rsidR="00000000" w:rsidRPr="00000000">
        <w:rPr>
          <w:sz w:val="28"/>
          <w:szCs w:val="28"/>
          <w:rtl w:val="1"/>
        </w:rPr>
        <w:t xml:space="preserve">وتعديلاته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4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43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1979؛</w:t>
      </w:r>
    </w:p>
    <w:p w:rsidR="00000000" w:rsidDel="00000000" w:rsidP="00000000" w:rsidRDefault="00000000" w:rsidRPr="00000000" w14:paraId="00000085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271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1997 </w:t>
      </w:r>
      <w:r w:rsidDel="00000000" w:rsidR="00000000" w:rsidRPr="00000000">
        <w:rPr>
          <w:sz w:val="28"/>
          <w:szCs w:val="28"/>
          <w:rtl w:val="1"/>
        </w:rPr>
        <w:t xml:space="preserve">بتنظيم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117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2007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موافقة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الجامعى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8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(319)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13/ 9/ 2011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9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(27)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22/ 1/ 2013 </w:t>
      </w:r>
      <w:r w:rsidDel="00000000" w:rsidR="00000000" w:rsidRPr="00000000">
        <w:rPr>
          <w:sz w:val="28"/>
          <w:szCs w:val="28"/>
          <w:rtl w:val="1"/>
        </w:rPr>
        <w:t xml:space="preserve">بتعديل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(319)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13/ 9/ 2011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8A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قـرر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C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1 -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للمصطلحات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E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الثانوية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بأنواعه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والتذهيب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وإتمام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الابتدائية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وإتمام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جـ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2 - </w:t>
      </w:r>
      <w:r w:rsidDel="00000000" w:rsidR="00000000" w:rsidRPr="00000000">
        <w:rPr>
          <w:sz w:val="28"/>
          <w:szCs w:val="28"/>
          <w:rtl w:val="1"/>
        </w:rPr>
        <w:t xml:space="preserve">تسرى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يتقدمون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والمديريات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3 -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بالعقوبات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إحدى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93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إخفاء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جـ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الاعتداء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معاونيهم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التحريض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السماح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بالمخالفة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الشأن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المحمول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4 -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إحدى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المخالفات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9A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تمزيق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تضمين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يكشف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شخصيته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الاستهتار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ويثبت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معتمد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التقرير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مرفق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جـ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حيازة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المحمول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لملاحظ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5 -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(3)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محضر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بإثبات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اكتشافها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والشهود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أمكن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إخطار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بالواقعة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بمعرفتها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الإخطار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بحسب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الأحوال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لإصدار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التوصية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فور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صدورها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للشئون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بديوان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6 -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بالعقوبات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تطابق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متضمن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يثبت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التطابق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لعرضه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كشوف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التبييض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7 - </w:t>
      </w:r>
      <w:r w:rsidDel="00000000" w:rsidR="00000000" w:rsidRPr="00000000">
        <w:rPr>
          <w:sz w:val="28"/>
          <w:szCs w:val="28"/>
          <w:rtl w:val="1"/>
        </w:rPr>
        <w:t xml:space="preserve">يجوز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جنائية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تأجيله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إحدى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8 - </w:t>
      </w:r>
      <w:r w:rsidDel="00000000" w:rsidR="00000000" w:rsidRPr="00000000">
        <w:rPr>
          <w:sz w:val="28"/>
          <w:szCs w:val="28"/>
          <w:rtl w:val="1"/>
        </w:rPr>
        <w:t xml:space="preserve">يحرم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فيكتفى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المسموح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للمادة</w:t>
      </w:r>
      <w:r w:rsidDel="00000000" w:rsidR="00000000" w:rsidRPr="00000000">
        <w:rPr>
          <w:sz w:val="28"/>
          <w:szCs w:val="28"/>
          <w:rtl w:val="1"/>
        </w:rPr>
        <w:t xml:space="preserve"> (4) - </w:t>
      </w:r>
      <w:r w:rsidDel="00000000" w:rsidR="00000000" w:rsidRPr="00000000">
        <w:rPr>
          <w:sz w:val="28"/>
          <w:szCs w:val="28"/>
          <w:rtl w:val="1"/>
        </w:rPr>
        <w:t xml:space="preserve">رسوب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بأكملها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9 - </w:t>
      </w:r>
      <w:r w:rsidDel="00000000" w:rsidR="00000000" w:rsidRPr="00000000">
        <w:rPr>
          <w:sz w:val="28"/>
          <w:szCs w:val="28"/>
          <w:rtl w:val="1"/>
        </w:rPr>
        <w:t xml:space="preserve">لوزير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المختص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بحسب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الأحوال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5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1 - </w:t>
      </w:r>
      <w:r w:rsidDel="00000000" w:rsidR="00000000" w:rsidRPr="00000000">
        <w:rPr>
          <w:sz w:val="28"/>
          <w:szCs w:val="28"/>
          <w:rtl w:val="1"/>
        </w:rPr>
        <w:t xml:space="preserve">الغش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وإثارة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الشغب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باللجنة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2 - </w:t>
      </w:r>
      <w:r w:rsidDel="00000000" w:rsidR="00000000" w:rsidRPr="00000000">
        <w:rPr>
          <w:sz w:val="28"/>
          <w:szCs w:val="28"/>
          <w:rtl w:val="1"/>
        </w:rPr>
        <w:t xml:space="preserve">إخفاء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3 - </w:t>
      </w:r>
      <w:r w:rsidDel="00000000" w:rsidR="00000000" w:rsidRPr="00000000">
        <w:rPr>
          <w:sz w:val="28"/>
          <w:szCs w:val="28"/>
          <w:rtl w:val="1"/>
        </w:rPr>
        <w:t xml:space="preserve">الاعتداء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التحريض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لجسامة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المرتكب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بالعقوبات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10 -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نهائى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يكسبه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نهائى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11 -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(319)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13/ 9/ 2011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(27)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22/ 1/ 2013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319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2011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يخالف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12 -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</w:p>
    <w:p w:rsidR="00000000" w:rsidDel="00000000" w:rsidP="00000000" w:rsidRDefault="00000000" w:rsidRPr="00000000" w14:paraId="000000AE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دكتور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غنيم</w:t>
      </w:r>
    </w:p>
    <w:p w:rsidR="00000000" w:rsidDel="00000000" w:rsidP="00000000" w:rsidRDefault="00000000" w:rsidRPr="00000000" w14:paraId="000000AF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19" w:left="1080" w:right="1106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Black"/>
  <w:font w:name="Bookman Old Style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EG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hort_text1">
    <w:name w:val="short_text1"/>
    <w:next w:val="short_text1"/>
    <w:autoRedefine w:val="0"/>
    <w:hidden w:val="0"/>
    <w:qFormat w:val="0"/>
    <w:rPr>
      <w:w w:val="100"/>
      <w:position w:val="-1"/>
      <w:sz w:val="33"/>
      <w:szCs w:val="33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jc w:val="righ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EG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data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٢٠١١-١٢-٢٢T١١:٠٨:٠٠Z</dcterms:created>
  <dc:creator>pc01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