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space="preserve">
  <w:body>
    <w:tbl>
      <w:tblPr>
        <w:jc w:val="left"/>
        <w:tblInd w:w="1638" w:type="dxa"/>
        <w:tblBorders>
          <w:top w:val="nil"/>
          <w:left w:val="nil"/>
          <w:bottom w:val="nil"/>
          <w:insideH w:val="nil"/>
          <w:right w:val="nil"/>
          <w:insideV w:val="nil"/>
        </w:tblBorders>
        <w:tblCellMar>
          <w:top w:w="0" w:type="dxa"/>
          <w:left w:w="108" w:type="dxa"/>
          <w:bottom w:w="0" w:type="dxa"/>
          <w:right w:w="108" w:type="dxa"/>
        </w:tblCellMar>
      </w:tblPr>
      <w:tblGrid>
        <w:gridCol w:w="3957"/>
        <w:gridCol w:w="3948"/>
      </w:tblGrid>
      <w:tr>
        <w:trPr>
          <w:cantSplit w:val="false"/>
        </w:trPr>
        <w:tc>
          <w:tcPr>
            <w:tcW w:w="3957" w:type="dxa"/>
            <w:tcBorders>
              <w:top w:val="nil"/>
              <w:left w:val="nil"/>
              <w:bottom w:val="nil"/>
              <w:insideH w:val="nil"/>
              <w:right w:val="nil"/>
              <w:insideV w:val="nil"/>
            </w:tcBorders>
            <w:shd w:fill="FFFFFF" w:val="clear"/>
          </w:tcPr>
          <w:p>
            <w:pPr>
              <w:pStyle w:val="Normal"/>
              <w:jc w:val="right"/>
              <w:rPr>
                <w:rFonts w:cs="Times New Roman"/>
                <w:sz w:val="18"/>
                <w:szCs w:val="18"/>
              </w:rPr>
            </w:pPr>
            <w:r>
              <w:rPr>
                <w:rFonts w:cs="Times New Roman"/>
                <w:sz w:val="18"/>
                <w:szCs w:val="18"/>
              </w:rPr>
              <w:t>Université de Tébessa</w:t>
            </w:r>
          </w:p>
          <w:p>
            <w:pPr>
              <w:pStyle w:val="Normal"/>
              <w:jc w:val="right"/>
              <w:rPr>
                <w:rFonts w:cs="Times New Roman"/>
                <w:sz w:val="18"/>
                <w:szCs w:val="18"/>
              </w:rPr>
            </w:pPr>
            <w:r>
              <w:rPr>
                <w:rFonts w:cs="Times New Roman"/>
                <w:sz w:val="18"/>
                <w:szCs w:val="18"/>
              </w:rPr>
              <w:t>Département des Sciences de La Nature et de la vie</w:t>
            </w:r>
          </w:p>
          <w:p>
            <w:pPr>
              <w:pStyle w:val="Normal"/>
              <w:jc w:val="right"/>
              <w:rPr>
                <w:sz w:val="18"/>
                <w:szCs w:val="18"/>
              </w:rPr>
            </w:pPr>
            <w:r>
              <w:rPr>
                <w:sz w:val="18"/>
                <w:szCs w:val="18"/>
              </w:rPr>
              <w:t>[street]</w:t>
            </w:r>
          </w:p>
          <w:p>
            <w:pPr>
              <w:pStyle w:val="Normal"/>
              <w:jc w:val="right"/>
              <w:rPr>
                <w:sz w:val="18"/>
                <w:szCs w:val="18"/>
              </w:rPr>
            </w:pPr>
            <w:r>
              <w:rPr>
                <w:sz w:val="18"/>
                <w:szCs w:val="18"/>
              </w:rPr>
              <w:t>[city], [state] [zip]</w:t>
            </w:r>
          </w:p>
          <w:p>
            <w:pPr>
              <w:pStyle w:val="Normal"/>
              <w:jc w:val="right"/>
              <w:rPr>
                <w:sz w:val="18"/>
                <w:szCs w:val="18"/>
              </w:rPr>
            </w:pPr>
            <w:r>
              <w:rPr>
                <w:sz w:val="18"/>
                <w:szCs w:val="18"/>
              </w:rPr>
              <w:t>Algeria</w:t>
            </w:r>
          </w:p>
        </w:tc>
        <w:tc>
          <w:tcPr>
            <w:tcW w:w="3948" w:type="dxa"/>
            <w:tcBorders>
              <w:top w:val="nil"/>
              <w:left w:val="nil"/>
              <w:bottom w:val="nil"/>
              <w:insideH w:val="nil"/>
              <w:right w:val="nil"/>
              <w:insideV w:val="nil"/>
            </w:tcBorders>
            <w:shd w:fill="FFFFFF" w:val="clear"/>
          </w:tcPr>
          <w:p>
            <w:pPr>
              <w:pStyle w:val="Normal"/>
              <w:jc w:val="right"/>
              <w:rPr>
                <w:sz w:val="18"/>
                <w:szCs w:val="18"/>
              </w:rPr>
            </w:pPr>
            <w:r>
              <w:rPr>
                <w:sz w:val="18"/>
                <w:szCs w:val="18"/>
              </w:rPr>
              <w:t>brahimbenaicha7@gmail.com</w:t>
            </w:r>
          </w:p>
          <w:p>
            <w:pPr>
              <w:pStyle w:val="Normal"/>
              <w:jc w:val="right"/>
              <w:rPr>
                <w:sz w:val="18"/>
                <w:szCs w:val="18"/>
              </w:rPr>
            </w:pPr>
            <w:r>
              <w:rPr>
                <w:sz w:val="18"/>
                <w:szCs w:val="18"/>
              </w:rPr>
              <w:t>Phone: [phone]</w:t>
            </w:r>
          </w:p>
          <w:p>
            <w:pPr>
              <w:pStyle w:val="Normal"/>
              <w:jc w:val="right"/>
              <w:rPr>
                <w:sz w:val="18"/>
                <w:szCs w:val="18"/>
              </w:rPr>
            </w:pPr>
            <w:r>
              <w:rPr>
                <w:sz w:val="18"/>
                <w:szCs w:val="18"/>
              </w:rPr>
              <w:t>Mobile: [mobile]</w:t>
            </w:r>
          </w:p>
          <w:p>
            <w:pPr>
              <w:pStyle w:val="Normal"/>
              <w:jc w:val="right"/>
              <w:rPr>
                <w:sz w:val="18"/>
                <w:szCs w:val="18"/>
              </w:rPr>
            </w:pPr>
            <w:r>
              <w:rPr>
                <w:sz w:val="18"/>
                <w:szCs w:val="18"/>
              </w:rPr>
              <w:t>Fax: [fax]</w:t>
            </w:r>
          </w:p>
          <w:p>
            <w:pPr>
              <w:pStyle w:val="Normal"/>
              <w:jc w:val="right"/>
              <w:rPr>
                <w:sz w:val="18"/>
                <w:szCs w:val="18"/>
              </w:rPr>
            </w:pPr>
            <w:r>
              <w:rPr>
                <w:sz w:val="18"/>
                <w:szCs w:val="18"/>
              </w:rPr>
              <w:t>Website: [website]</w:t>
            </w:r>
          </w:p>
        </w:tc>
      </w:tr>
    </w:tbl>
    <w:p>
      <w:pPr>
        <w:pStyle w:val="Heading11"/>
        <w:spacing w:before="120" w:after="0"/>
        <w:rPr>
          <w:bCs w:val="false"/>
        </w:rPr>
      </w:pPr>
      <w:r>
        <w:rPr>
          <w:bCs w:val="false"/>
        </w:rPr>
        <w:t>Brahim Ben Aicha, PhD Student - Cell Toxicology</w:t>
      </w:r>
    </w:p>
    <w:p>
      <w:pPr>
        <w:pStyle w:val="Normal"/>
        <w:spacing w:before="0" w:after="120"/>
        <w:ind w:left="540" w:right="0" w:hanging="540"/>
      </w:pPr>
      <w:r>
        <w:t>https://www.researchgate.net/profile/Brahim_Ben_Aicha</w:t>
      </w:r>
    </w:p>
    <w:p>
      <w:pPr>
        <w:pStyle w:val="Heading21"/>
      </w:pPr>
      <w:r>
        <w:t>Education</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2264"/>
        <w:gridCol w:w="7355"/>
      </w:tblGrid>
    </w:tbl>
    <w:p>
      <w:pPr>
        <w:pStyle w:val="Heading21"/>
      </w:pPr>
      <w:r>
        <w:t>Thesis</w:t>
      </w:r>
    </w:p>
    <w:p>
      <w:pPr>
        <w:pStyle w:val="Heading21"/>
      </w:pPr>
      <w:r>
        <w:t>Research Experience</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2386"/>
        <w:gridCol w:w="7235"/>
      </w:tblGrid>
    </w:tbl>
    <w:p>
      <w:pPr>
        <w:pStyle w:val="Heading21"/>
      </w:pPr>
      <w:r>
        <w:t>Statistics</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2218"/>
        <w:gridCol w:w="7186"/>
      </w:tblGrid>
      <w:tr>
        <w:trPr>
          <w:cantSplit w:val="false"/>
        </w:trPr>
        <w:tc>
          <w:tcPr>
            <w:tcW w:w="2218" w:type="dxa"/>
            <w:tcBorders>
              <w:top w:val="nil"/>
              <w:left w:val="nil"/>
              <w:bottom w:val="nil"/>
              <w:insideH w:val="nil"/>
              <w:right w:val="nil"/>
              <w:insideV w:val="nil"/>
            </w:tcBorders>
            <w:shd w:fill="FFFFFF" w:val="clear"/>
          </w:tcPr>
          <w:p>
            <w:pPr>
              <w:pStyle w:val="Normal"/>
              <w:jc w:val="right"/>
              <w:rPr>
                <w:i/>
              </w:rPr>
            </w:pPr>
            <w:r>
              <w:rPr>
                <w:i/>
              </w:rPr>
              <w:t>RG Score</w:t>
            </w:r>
          </w:p>
        </w:tc>
        <w:tc>
          <w:tcPr>
            <w:tcW w:w="7186" w:type="dxa"/>
            <w:tcBorders>
              <w:top w:val="nil"/>
              <w:left w:val="nil"/>
              <w:bottom w:val="nil"/>
              <w:insideH w:val="nil"/>
              <w:right w:val="nil"/>
              <w:insideV w:val="nil"/>
            </w:tcBorders>
            <w:shd w:fill="FFFFFF" w:val="clear"/>
          </w:tcPr>
          <w:p>
            <w:pPr>
              <w:pStyle w:val="Normal"/>
              <w:spacing w:before="0" w:after="120"/>
            </w:pPr>
            <w:r>
              <w:t>5</w:t>
            </w:r>
          </w:p>
        </w:tc>
      </w:tr>
      <w:tr>
        <w:trPr>
          <w:cantSplit w:val="false"/>
        </w:trPr>
        <w:tc>
          <w:tcPr>
            <w:tcW w:w="2218" w:type="dxa"/>
            <w:tcBorders>
              <w:top w:val="nil"/>
              <w:left w:val="nil"/>
              <w:bottom w:val="nil"/>
              <w:insideH w:val="nil"/>
              <w:right w:val="nil"/>
              <w:insideV w:val="nil"/>
            </w:tcBorders>
            <w:shd w:fill="FFFFFF" w:val="clear"/>
          </w:tcPr>
          <w:p>
            <w:pPr>
              <w:pStyle w:val="Normal"/>
              <w:jc w:val="right"/>
              <w:rPr>
                <w:i/>
              </w:rPr>
            </w:pPr>
            <w:r>
              <w:rPr>
                <w:i/>
              </w:rPr>
              <w:t>Publications </w:t>
            </w:r>
          </w:p>
        </w:tc>
        <w:tc>
          <w:tcPr>
            <w:tcW w:w="7186" w:type="dxa"/>
            <w:tcBorders>
              <w:top w:val="nil"/>
              <w:left w:val="nil"/>
              <w:bottom w:val="nil"/>
              <w:insideH w:val="nil"/>
              <w:right w:val="nil"/>
              <w:insideV w:val="nil"/>
            </w:tcBorders>
            <w:shd w:fill="FFFFFF" w:val="clear"/>
          </w:tcPr>
          <w:p>
            <w:pPr>
              <w:pStyle w:val="Normal"/>
              <w:spacing w:before="0" w:after="120"/>
            </w:pPr>
            <w:r>
              <w:t>22</w:t>
            </w:r>
          </w:p>
        </w:tc>
      </w:tr>
      <w:tr>
        <w:trPr>
          <w:cantSplit w:val="false"/>
        </w:trPr>
        <w:tc>
          <w:tcPr>
            <w:tcW w:w="2218" w:type="dxa"/>
            <w:tcBorders>
              <w:top w:val="nil"/>
              <w:left w:val="nil"/>
              <w:bottom w:val="nil"/>
              <w:insideH w:val="nil"/>
              <w:right w:val="nil"/>
              <w:insideV w:val="nil"/>
            </w:tcBorders>
            <w:shd w:fill="FFFFFF" w:val="clear"/>
          </w:tcPr>
          <w:p>
            <w:pPr>
              <w:pStyle w:val="Normal"/>
              <w:jc w:val="right"/>
              <w:rPr>
                <w:i/>
              </w:rPr>
            </w:pPr>
            <w:r>
              <w:rPr>
                <w:i/>
              </w:rPr>
              <w:t>Reads</w:t>
            </w:r>
          </w:p>
        </w:tc>
        <w:tc>
          <w:tcPr>
            <w:tcW w:w="7186" w:type="dxa"/>
            <w:tcBorders>
              <w:top w:val="nil"/>
              <w:left w:val="nil"/>
              <w:bottom w:val="nil"/>
              <w:insideH w:val="nil"/>
              <w:right w:val="nil"/>
              <w:insideV w:val="nil"/>
            </w:tcBorders>
            <w:shd w:fill="FFFFFF" w:val="clear"/>
          </w:tcPr>
          <w:p>
            <w:pPr>
              <w:pStyle w:val="Normal"/>
              <w:spacing w:before="0" w:after="120"/>
            </w:pPr>
            <w:r>
              <w:t>2,306</w:t>
            </w:r>
          </w:p>
        </w:tc>
      </w:tr>
      <w:tr>
        <w:trPr>
          <w:cantSplit w:val="false"/>
        </w:trPr>
        <w:tc>
          <w:tcPr>
            <w:tcW w:w="2218" w:type="dxa"/>
            <w:tcBorders>
              <w:top w:val="nil"/>
              <w:left w:val="nil"/>
              <w:bottom w:val="nil"/>
              <w:insideH w:val="nil"/>
              <w:right w:val="nil"/>
              <w:insideV w:val="nil"/>
            </w:tcBorders>
            <w:shd w:fill="FFFFFF" w:val="clear"/>
          </w:tcPr>
          <w:p>
            <w:pPr>
              <w:pStyle w:val="Normal"/>
              <w:jc w:val="right"/>
              <w:rPr>
                <w:i/>
              </w:rPr>
            </w:pPr>
            <w:r>
              <w:rPr>
                <w:i/>
              </w:rPr>
              <w:t>Citations</w:t>
            </w:r>
          </w:p>
        </w:tc>
        <w:tc>
          <w:tcPr>
            <w:tcW w:w="7186" w:type="dxa"/>
            <w:tcBorders>
              <w:top w:val="nil"/>
              <w:left w:val="nil"/>
              <w:bottom w:val="nil"/>
              <w:insideH w:val="nil"/>
              <w:right w:val="nil"/>
              <w:insideV w:val="nil"/>
            </w:tcBorders>
            <w:shd w:fill="FFFFFF" w:val="clear"/>
          </w:tcPr>
          <w:p>
            <w:pPr>
              <w:pStyle w:val="Normal"/>
            </w:pPr>
            <w:r>
              <w:t>0</w:t>
            </w:r>
          </w:p>
        </w:tc>
      </w:tr>
    </w:tbl>
    <w:p>
      <w:pPr>
        <w:pStyle w:val="Heading21"/>
      </w:pPr>
      <w:r>
        <w:t>Awards &amp; Grants</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2264"/>
        <w:gridCol w:w="7355"/>
      </w:tblGrid>
    </w:tbl>
    <w:p>
      <w:pPr>
        <w:pStyle w:val="Heading21"/>
      </w:pPr>
      <w:r>
        <w:t>Skills &amp; Activities</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2264"/>
        <w:gridCol w:w="7355"/>
      </w:tblGrid>
      <w:tr>
        <w:trPr>
          <w:cantSplit w:val="false"/>
        </w:trPr>
        <w:tc>
          <w:tcPr>
            <w:tcW w:w="2264" w:type="dxa"/>
            <w:tcBorders>
              <w:top w:val="nil"/>
              <w:left w:val="nil"/>
              <w:bottom w:val="nil"/>
              <w:insideH w:val="nil"/>
              <w:right w:val="nil"/>
              <w:insideV w:val="nil"/>
            </w:tcBorders>
            <w:shd w:fill="FFFFFF" w:val="clear"/>
          </w:tcPr>
          <w:p>
            <w:pPr>
              <w:pStyle w:val="Normal"/>
              <w:jc w:val="right"/>
              <w:rPr>
                <w:i/>
              </w:rPr>
            </w:pPr>
            <w:r>
              <w:rPr>
                <w:i/>
              </w:rPr>
              <w:t>Skills</w:t>
            </w:r>
          </w:p>
        </w:tc>
        <w:tc>
          <w:tcPr>
            <w:tcW w:w="7355" w:type="dxa"/>
            <w:tcBorders>
              <w:top w:val="nil"/>
              <w:left w:val="nil"/>
              <w:bottom w:val="nil"/>
              <w:insideH w:val="nil"/>
              <w:right w:val="nil"/>
              <w:insideV w:val="nil"/>
            </w:tcBorders>
            <w:shd w:fill="FFFFFF" w:val="clear"/>
          </w:tcPr>
          <w:p>
            <w:pPr>
              <w:pStyle w:val="Normal"/>
              <w:spacing w:before="0" w:after="120"/>
            </w:pPr>
            <w:r>
              <w:t>Antioxidant Activity, Oxidative Stress Biomarkers, Environmental Toxicology, Biomarkers, Reactive Oxygen Species, Phytochemicals, Free Radical Scavengers, Free Radicals, Bioactivity, Natural Product Chemistry, Lipid Peroxidation, SOD, GSH, Free Radical Biology, Free Radical Biochemistry, Molecular Toxicology, Xenobiotics, Toxicological Analysis, Genotoxicology, CAT, GPx, Lipid Oxidation, Redox Regulation, Redox Signaling, AST, DNA Damage, Peroxidases, Inflammatory Biomarkers, Superoxide Detection, DNA Fragmentation</w:t>
            </w:r>
          </w:p>
        </w:tc>
      </w:tr>
      <w:tr>
        <w:trPr>
          <w:cantSplit w:val="false"/>
        </w:trPr>
        <w:tc>
          <w:tcPr>
            <w:tcW w:w="2264" w:type="dxa"/>
            <w:tcBorders>
              <w:top w:val="nil"/>
              <w:left w:val="nil"/>
              <w:bottom w:val="nil"/>
              <w:insideH w:val="nil"/>
              <w:right w:val="nil"/>
              <w:insideV w:val="nil"/>
            </w:tcBorders>
            <w:shd w:fill="FFFFFF" w:val="clear"/>
          </w:tcPr>
          <w:p>
            <w:pPr>
              <w:pStyle w:val="Normal"/>
              <w:jc w:val="right"/>
              <w:rPr>
                <w:i/>
              </w:rPr>
            </w:pPr>
            <w:r>
              <w:rPr>
                <w:i/>
              </w:rPr>
              <w:t>Languages</w:t>
            </w:r>
          </w:p>
        </w:tc>
        <w:tc>
          <w:tcPr>
            <w:tcW w:w="7355" w:type="dxa"/>
            <w:tcBorders>
              <w:top w:val="nil"/>
              <w:left w:val="nil"/>
              <w:bottom w:val="nil"/>
              <w:insideH w:val="nil"/>
              <w:right w:val="nil"/>
              <w:insideV w:val="nil"/>
            </w:tcBorders>
            <w:shd w:fill="FFFFFF" w:val="clear"/>
          </w:tcPr>
          <w:p>
            <w:pPr>
              <w:pStyle w:val="Normal"/>
              <w:spacing w:before="0" w:after="120"/>
            </w:pPr>
            <w:r>
              <w:t/>
            </w:r>
          </w:p>
        </w:tc>
      </w:tr>
      <w:tr>
        <w:trPr>
          <w:cantSplit w:val="false"/>
        </w:trPr>
        <w:tc>
          <w:tcPr>
            <w:tcW w:w="2264" w:type="dxa"/>
            <w:tcBorders>
              <w:top w:val="nil"/>
              <w:left w:val="nil"/>
              <w:bottom w:val="nil"/>
              <w:insideH w:val="nil"/>
              <w:right w:val="nil"/>
              <w:insideV w:val="nil"/>
            </w:tcBorders>
            <w:shd w:fill="FFFFFF" w:val="clear"/>
          </w:tcPr>
          <w:p>
            <w:pPr>
              <w:pStyle w:val="Normal"/>
              <w:jc w:val="right"/>
              <w:rPr>
                <w:i/>
              </w:rPr>
            </w:pPr>
            <w:r>
              <w:rPr>
                <w:i/>
              </w:rPr>
              <w:t>Scientific Memberships</w:t>
            </w:r>
          </w:p>
        </w:tc>
        <w:tc>
          <w:tcPr>
            <w:tcW w:w="7355" w:type="dxa"/>
            <w:tcBorders>
              <w:top w:val="nil"/>
              <w:left w:val="nil"/>
              <w:bottom w:val="nil"/>
              <w:insideH w:val="nil"/>
              <w:right w:val="nil"/>
              <w:insideV w:val="nil"/>
            </w:tcBorders>
            <w:shd w:fill="FFFFFF" w:val="clear"/>
          </w:tcPr>
          <w:p>
            <w:pPr>
              <w:pStyle w:val="Normal"/>
              <w:spacing w:before="0" w:after="120"/>
            </w:pPr>
            <w:r>
              <w:t/>
            </w:r>
          </w:p>
        </w:tc>
      </w:tr>
      <w:tr>
        <w:trPr>
          <w:cantSplit w:val="false"/>
        </w:trPr>
        <w:tc>
          <w:tcPr>
            <w:tcW w:w="2264" w:type="dxa"/>
            <w:tcBorders>
              <w:top w:val="nil"/>
              <w:left w:val="nil"/>
              <w:bottom w:val="nil"/>
              <w:insideH w:val="nil"/>
              <w:right w:val="nil"/>
              <w:insideV w:val="nil"/>
            </w:tcBorders>
            <w:shd w:fill="FFFFFF" w:val="clear"/>
          </w:tcPr>
          <w:p>
            <w:pPr>
              <w:pStyle w:val="Normal"/>
              <w:jc w:val="right"/>
              <w:rPr>
                <w:i/>
              </w:rPr>
            </w:pPr>
            <w:r>
              <w:rPr>
                <w:i/>
              </w:rPr>
              <w:t>Interests</w:t>
            </w:r>
          </w:p>
        </w:tc>
        <w:tc>
          <w:tcPr>
            <w:tcW w:w="7355" w:type="dxa"/>
            <w:tcBorders>
              <w:top w:val="nil"/>
              <w:left w:val="nil"/>
              <w:bottom w:val="nil"/>
              <w:insideH w:val="nil"/>
              <w:right w:val="nil"/>
              <w:insideV w:val="nil"/>
            </w:tcBorders>
            <w:shd w:fill="FFFFFF" w:val="clear"/>
          </w:tcPr>
          <w:p>
            <w:pPr>
              <w:pStyle w:val="Normal"/>
            </w:pPr>
            <w:r>
              <w:t/>
            </w:r>
          </w:p>
        </w:tc>
      </w:tr>
    </w:tbl>
    <w:p>
      <w:pPr>
        <w:pStyle w:val="Heading21"/>
      </w:pPr>
      <w:r>
        <w:t>Publication Highlights</w:t>
      </w:r>
    </w:p>
    <w:p>
      <w:pPr>
        <w:pStyle w:val="Normal"/>
        <w:spacing w:before="0" w:after="120"/>
        <w:ind w:left="540" w:right="0" w:hanging="540"/>
      </w:pPr>
      <w:r>
        <w:t>[authors]: </w:t>
      </w:r>
      <w:r>
        <w:rPr>
          <w:i/>
        </w:rPr>
        <w:t>[title]</w:t>
      </w:r>
      <w:r>
        <w:t>. [details]</w:t>
      </w:r>
    </w:p>
    <w:p>
      <w:pPr>
        <w:pStyle w:val="Heading21"/>
      </w:pPr>
      <w:r>
        <w:t>Books</w:t>
      </w:r>
    </w:p>
    <w:p>
      <w:pPr>
        <w:pStyle w:val="Heading21"/>
      </w:pPr>
      <w:r>
        <w:t>Book Chapters</w:t>
      </w:r>
    </w:p>
    <w:p>
      <w:pPr>
        <w:pStyle w:val="Heading21"/>
      </w:pPr>
      <w:r>
        <w:t>Journal Publications</w:t>
      </w:r>
    </w:p>
    <w:p>
      <w:pPr>
        <w:pStyle w:val="Normal"/>
        <w:spacing w:before="0" w:after="120"/>
        <w:ind w:left="540" w:right="0" w:hanging="540"/>
      </w:pPr>
      <w:r>
        <w:t>Brahim Ben Aicha, Salim Gasmi, Fouad Menaceur, Rachid Rouabhi: </w:t>
      </w:r>
      <w:r>
        <w:rPr>
          <w:i/>
        </w:rPr>
        <w:t>Hemato-protective effect of selenium on toxicity of cadmium in rabbits</w:t>
      </w:r>
      <w:r>
        <w:t>. Journal of Algerian Studies 05/2019; 1(1):23-25.</w:t>
      </w:r>
    </w:p>
    <w:p>
      <w:pPr>
        <w:pStyle w:val="Normal"/>
        <w:spacing w:before="0" w:after="120"/>
        <w:ind w:left="540" w:right="0" w:hanging="540"/>
      </w:pPr>
      <w:r>
        <w:t>Salim Gasmi, Benaicha Brahim, Rachid Rouabhi: </w:t>
      </w:r>
      <w:r>
        <w:rPr>
          <w:i/>
        </w:rPr>
        <w:t>Biochemical and histotopographical alterations in the brain of rats exposed to low dose of deltamethrin: striatum apoptosis assessment</w:t>
      </w:r>
      <w:r>
        <w:t>. Clinical Toxicology 10/2018; (NACCT) Abstracts(185):112/182., DOI:10.1080/15563650.2018.150661</w:t>
      </w:r>
    </w:p>
    <w:p>
      <w:pPr>
        <w:pStyle w:val="Normal"/>
        <w:spacing w:before="0" w:after="120"/>
        <w:ind w:left="540" w:right="0" w:hanging="540"/>
      </w:pPr>
      <w:r>
        <w:t>Salim Gasmi, Benaicha Brahim, Fouad Menaceur, Rachid Rouabhi, Mohammed KEBIECHE: </w:t>
      </w:r>
      <w:r>
        <w:rPr>
          <w:i/>
        </w:rPr>
        <w:t>STUDY OF CHRONIC NEUROTOXICITY BY ACETAMIPRID ® IN RATS</w:t>
      </w:r>
      <w:r>
        <w:t>. AFRICAN JOURNAL OF BIOTECHNOLOGY 03/2018; 02(01):A1-A27., DOI:10.5281/zenodo.1245695</w:t>
      </w:r>
    </w:p>
    <w:p>
      <w:pPr>
        <w:pStyle w:val="Heading21"/>
      </w:pPr>
      <w:r>
        <w:t>Patents</w:t>
      </w:r>
    </w:p>
    <w:p>
      <w:pPr>
        <w:pStyle w:val="Heading21"/>
      </w:pPr>
      <w:r>
        <w:t>Conference Proceedings</w:t>
      </w:r>
    </w:p>
    <w:p>
      <w:pPr>
        <w:pStyle w:val="Normal"/>
        <w:spacing w:before="0" w:after="120"/>
        <w:ind w:left="540" w:right="0" w:hanging="540"/>
      </w:pPr>
      <w:r>
        <w:t>Salim Gasmi, Brahim Ben Aicha, Fouad Menaceur, Aounallah Samira, Afafe Beghoul, Mohammed KEBIECHE, Rachid Rouabhi: </w:t>
      </w:r>
      <w:r>
        <w:rPr>
          <w:i/>
        </w:rPr>
        <w:t>Topographical study of the brain after exposure to Xenobiotics : affected Hippocampus &amp; striatum by Acetamiprid pesticide</w:t>
      </w:r>
      <w:r>
        <w:t>. The first national seminar of biodeversity and valorisation of biological products in dry and semi-arid areas. El Oued. Algeria, El Oued, Algeria; 03/2019, DOI:10.13140/RG.2.2.30773.52964</w:t>
      </w:r>
    </w:p>
    <w:p>
      <w:pPr>
        <w:pStyle w:val="Normal"/>
        <w:spacing w:before="0" w:after="120"/>
        <w:ind w:left="540" w:right="0" w:hanging="540"/>
      </w:pPr>
      <w:r>
        <w:t>Brahim Ben Aicha, Rachid Rouabhi, Salim Gasmi, Aounallah Samira: </w:t>
      </w:r>
      <w:r>
        <w:rPr>
          <w:i/>
        </w:rPr>
        <w:t>ACTIVITE AMELIORANTE LA MEMOIRE DE L’EXTRAIT DE UNE PLANTE MEDICINALE CONTRE LA TOXICITE D’UN PESTICIDE CHEZ LES RATS</w:t>
      </w:r>
      <w:r>
        <w:t>. stress &amp; health; 02/2019</w:t>
      </w:r>
    </w:p>
    <w:p>
      <w:pPr>
        <w:pStyle w:val="Normal"/>
        <w:spacing w:before="0" w:after="120"/>
        <w:ind w:left="540" w:right="0" w:hanging="540"/>
      </w:pPr>
      <w:r>
        <w:t>Fouad Menaceur, Salim Gasmi, Brahim Ben Aicha, Rachid Rouabhi: </w:t>
      </w:r>
      <w:r>
        <w:rPr>
          <w:i/>
        </w:rPr>
        <w:t>Formulation d'un nouveau matériau d'emballage à base d'un sous-produit de volaille, effet d'addition d'une huile essentielle d'une plante endémique Algérienne</w:t>
      </w:r>
      <w:r>
        <w:t>. The 2nd international symposium Medicinal Plants Materials 2019, Tozeur, Tunisie; 02/2019</w:t>
      </w:r>
    </w:p>
    <w:p>
      <w:pPr>
        <w:pStyle w:val="Normal"/>
        <w:spacing w:before="0" w:after="120"/>
        <w:ind w:left="540" w:right="0" w:hanging="540"/>
      </w:pPr>
      <w:r>
        <w:t>Brahim Ben Aicha, Rachid Rouabhi, Salim Gasmi, Aounallah Samira: </w:t>
      </w:r>
      <w:r>
        <w:rPr>
          <w:i/>
        </w:rPr>
        <w:t>ETUDE PHYTOCHIMIQUE DES EXTRAITS D’UNE PLANTE MEDICINALE ET EVALUATION DE LEURS ACTIVITES BIOILOGIQUES</w:t>
      </w:r>
      <w:r>
        <w:t>. toxicology; 02/2019</w:t>
      </w:r>
    </w:p>
    <w:p>
      <w:pPr>
        <w:pStyle w:val="Normal"/>
        <w:spacing w:before="0" w:after="120"/>
        <w:ind w:left="540" w:right="0" w:hanging="540"/>
      </w:pPr>
      <w:r>
        <w:t>Salim Gasmi, Brahim Ben Aicha, Fouad Menaceur, Aounallah Samira, Saker Hichem, Abdelkarim Benkhedir, Rachid Rouabhi, Mohammed KEBIECHE: </w:t>
      </w:r>
      <w:r>
        <w:rPr>
          <w:i/>
        </w:rPr>
        <w:t>Quercetin protects against neurotoxicity of Pyrethroid pesticide in Wistar rats</w:t>
      </w:r>
      <w:r>
        <w:t>. toxicology; 02/2019, DOI:10.13140/RG.2.2.30726.01601</w:t>
      </w:r>
    </w:p>
    <w:p>
      <w:pPr>
        <w:pStyle w:val="Normal"/>
        <w:spacing w:before="0" w:after="120"/>
        <w:ind w:left="540" w:right="0" w:hanging="540"/>
      </w:pPr>
      <w:r>
        <w:t>Salim Gasmi, Fouad Menaceur, Brahim Ben Aicha, Rachid Rouabhi: </w:t>
      </w:r>
      <w:r>
        <w:rPr>
          <w:i/>
        </w:rPr>
        <w:t>EFFET PROTECTEUR DE QUERCETINE SUR L'ALTERATION MITOCHONDRIAL PAR UN PESTICIDE CHEZ LES RATS</w:t>
      </w:r>
      <w:r>
        <w:t>. toxicology; 02/2019, DOI:10.13140/RG.2.2.26469.45280/1</w:t>
      </w:r>
    </w:p>
    <w:p>
      <w:pPr>
        <w:pStyle w:val="Normal"/>
        <w:spacing w:before="0" w:after="120"/>
        <w:ind w:left="540" w:right="0" w:hanging="540"/>
      </w:pPr>
      <w:r>
        <w:t>Brahim Ben Aicha, Rachid Rouabhi, Salim Gasmi, Aounallah Samira: </w:t>
      </w:r>
      <w:r>
        <w:rPr>
          <w:i/>
        </w:rPr>
        <w:t>EFFET OPPOSEE DE SELENIUM SUR L’HEPATOTOXICITE INDUITE PAR LE CADMIUM CHEZ LES LAPINS</w:t>
      </w:r>
      <w:r>
        <w:t>. toxicology; 04/2018</w:t>
      </w:r>
    </w:p>
    <w:p>
      <w:pPr>
        <w:pStyle w:val="Normal"/>
        <w:spacing w:before="0" w:after="120"/>
        <w:ind w:left="540" w:right="0" w:hanging="540"/>
      </w:pPr>
      <w:r>
        <w:t>Brahim Ben Aicha, Rachid Rouabhi, Salim Gasmi, Aounallah Samira, Saker Hichem: </w:t>
      </w:r>
      <w:r>
        <w:rPr>
          <w:i/>
        </w:rPr>
        <w:t>EFFET OPPOSEE DE SELENIUM SUR LES PARAMETRES HEMATOLOGIQUES ET BIOCHIMIQUES DES LAPINS APRES UNE INTOXICATION PAR LE CADMIUM</w:t>
      </w:r>
      <w:r>
        <w:t>. toxicol; 03/2018</w:t>
      </w:r>
    </w:p>
    <w:p>
      <w:pPr>
        <w:pStyle w:val="Normal"/>
        <w:spacing w:before="0" w:after="120"/>
        <w:ind w:left="540" w:right="0" w:hanging="540"/>
      </w:pPr>
      <w:r>
        <w:t>Aounallah Samira, Rachid Rouabhi, Salim Gasmi, Brahim Ben Aicha, Abd Elkarim, Saker Hichem: </w:t>
      </w:r>
      <w:r>
        <w:rPr>
          <w:i/>
        </w:rPr>
        <w:t>THE TOXICITY OF CADMIUM ON THE ENZYMATIC AND BIOCHEMICAL PARAMETERS IN RABBITS</w:t>
      </w:r>
      <w:r>
        <w:t>. toxicol; 03/2018</w:t>
      </w:r>
    </w:p>
    <w:p>
      <w:pPr>
        <w:pStyle w:val="Normal"/>
        <w:spacing w:before="0" w:after="120"/>
        <w:ind w:left="540" w:right="0" w:hanging="540"/>
      </w:pPr>
      <w:r>
        <w:t>Salim Gasmi, Brahim Ben Aicha, Aounallah Samira, Rachid Rouabhi, Abdelkarim Benkhedir, Saker Hichem, Fouad Menaceur, Mohammed KEBIECHE: </w:t>
      </w:r>
      <w:r>
        <w:rPr>
          <w:i/>
        </w:rPr>
        <w:t>EFFETS NEUROPROTECTEUR DE QUERCETINE SUR L'ALTERATION MITOCHONDRIAL PAR LA DELTAMETHRINE EN CHRONICITE CHEZ LES RATS</w:t>
      </w:r>
      <w:r>
        <w:t>. pesticides; 03/2018, DOI:10.13140/RG.2.2.30236.18562</w:t>
      </w:r>
    </w:p>
    <w:p>
      <w:pPr>
        <w:pStyle w:val="Normal"/>
        <w:spacing w:before="0" w:after="120"/>
        <w:ind w:left="540" w:right="0" w:hanging="540"/>
      </w:pPr>
      <w:r>
        <w:t>Brahim Ben Aicha, Rachid Rouabhi, Salim Gasmi, Aounallah Samira, Saker Hichem: </w:t>
      </w:r>
      <w:r>
        <w:rPr>
          <w:i/>
        </w:rPr>
        <w:t>EFFET OPPOSEE DE SELENIUM SUR L’HEMATOLOGIQUES INDUITE PAR LE CADMIUM CHEZ LES LAPINS</w:t>
      </w:r>
      <w:r>
        <w:t>. envirenment; 03/2018</w:t>
      </w:r>
    </w:p>
    <w:p>
      <w:pPr>
        <w:pStyle w:val="Normal"/>
        <w:spacing w:before="0" w:after="120"/>
        <w:ind w:left="540" w:right="0" w:hanging="540"/>
      </w:pPr>
      <w:r>
        <w:t>Salim Gasmi, Brahim Ben Aicha, Aounallah Samira, Abdelkarim Benkhedir, Saker Hichem, Rachid Rouabhi, Mohammed KEBIECHE: </w:t>
      </w:r>
      <w:r>
        <w:rPr>
          <w:i/>
        </w:rPr>
        <w:t>EFFETS OPPOSES DE LA QUERCETINE SUR LA NEUROTOXICITE D'UN PYRETHRINOÏDE DANS LE STRIATUM CHEZ LE RAT</w:t>
      </w:r>
      <w:r>
        <w:t>. pesticide toxicity; 03/2018, DOI:10.13140/RG.2.2.13458.96965</w:t>
      </w:r>
    </w:p>
    <w:p>
      <w:pPr>
        <w:pStyle w:val="Normal"/>
        <w:spacing w:before="0" w:after="120"/>
        <w:ind w:left="540" w:right="0" w:hanging="540"/>
      </w:pPr>
      <w:r>
        <w:t>Salim Gasmi, Rachid Rouabhi, Fouad Menaceur, Brahim Ben Aicha, Aounallah Samira, Abdelkarim Benkhedir, Saker Hichem, Mohammed KEBIECHE, Soltani Nadjmeddine: </w:t>
      </w:r>
      <w:r>
        <w:rPr>
          <w:i/>
        </w:rPr>
        <w:t>Neuromitochondrial Study of Neonicotinoïdes intoxication</w:t>
      </w:r>
      <w:r>
        <w:t>. pesticide; 12/2017, DOI:10.13140/RG.2.2.11561.08806</w:t>
      </w:r>
    </w:p>
    <w:p>
      <w:pPr>
        <w:pStyle w:val="Heading21"/>
      </w:pPr>
      <w:r>
        <w:t>Technical Reports</w:t>
      </w:r>
    </w:p>
    <w:p>
      <w:pPr>
        <w:pStyle w:val="Normal"/>
      </w:pPr>
      <w:r/>
    </w:p>
    <w:p>
      <w:pPr>
        <w:pStyle w:val="Normal"/>
      </w:pPr>
      <w:r/>
    </w:p>
    <w:sectPr>
      <w:type w:val="nextPage"/>
      <w:pgSz w:w="12240" w:h="15840"/>
      <w:pgMar w:left="1417" w:right="1417" w:header="0" w:top="1417"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Palatino">
    <w:charset w:val="01"/>
    <w:family w:val="roman"/>
    <w:pitch w:val="variable"/>
  </w:font>
  <w:font w:name="Lucida Grande">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w:docDefaults>
    <w:rPrDefault>
      <w:rPr>
        <w:rFonts w:ascii="Cambria" w:hAnsi="Cambria" w:eastAsia="Droid Sans Fallback" w:cs=""/>
        <w:szCs w:val="24"/>
        <w:lang w:val="de-DE" w:eastAsia="ja-JP" w:bidi="ar-SA"/>
      </w:rPr>
    </w:rPrDefault>
    <w:pPrDefault>
      <w:pPr/>
    </w:pPrDefault>
  </w:docDefaults>
  <w:latentStyles w:count="276"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pPr>
      <w:widowControl/>
      <w:suppressAutoHyphens w:val="true"/>
      <w:bidi w:val="0"/>
      <w:spacing w:lineRule="auto" w:line="288"/>
      <w:jc w:val="left"/>
    </w:pPr>
    <w:rPr>
      <w:rFonts w:ascii="Palatino" w:hAnsi="Palatino" w:eastAsia="DejaVu Sans" w:cs=""/>
      <w:color w:val="00000A"/>
      <w:sz w:val="20"/>
      <w:szCs w:val="24"/>
      <w:lang w:val="en-US" w:eastAsia="de-DE" w:bidi="ar-SA"/>
    </w:rPr>
  </w:style>
  <w:style w:type="character" w:styleId="DefaultParagraphFont" w:default="1">
    <w:name w:val="Default Paragraph Font"/>
    <w:uiPriority w:val="1"/>
    <w:semiHidden/>
    <w:unhideWhenUsed/>
    <w:rPr/>
  </w:style>
  <w:style w:type="character" w:styleId="Berschrift1Zeichen" w:customStyle="1">
    <w:name w:val="Überschrift 1 Zeichen"/>
    <w:basedOn w:val="DefaultParagraphFont"/>
    <w:rPr>
      <w:rFonts w:ascii="Palatino" w:hAnsi="Palatino"/>
      <w:bCs/>
      <w:sz w:val="32"/>
      <w:szCs w:val="32"/>
    </w:rPr>
  </w:style>
  <w:style w:type="character" w:styleId="Berschrift2Zeichen" w:customStyle="1">
    <w:name w:val="Überschrift 2 Zeichen"/>
    <w:basedOn w:val="DefaultParagraphFont"/>
    <w:rPr>
      <w:rFonts w:ascii="Palatino" w:hAnsi="Palatino"/>
      <w:bCs/>
      <w:sz w:val="26"/>
      <w:szCs w:val="26"/>
    </w:rPr>
  </w:style>
  <w:style w:type="character" w:styleId="SprechblasentextZeichen" w:customStyle="1">
    <w:name w:val="Sprechblasentext Zeichen"/>
    <w:basedOn w:val="DefaultParagraphFont"/>
    <w:rPr>
      <w:rFonts w:ascii="Lucida Grande" w:hAnsi="Lucida Grande" w:cs="Lucida Grande"/>
      <w:sz w:val="18"/>
      <w:szCs w:val="18"/>
    </w:rPr>
  </w:style>
  <w:style w:type="paragraph" w:styleId="Heading" w:customStyle="1">
    <w:name w:val="Heading"/>
    <w:basedOn w:val="Normal"/>
    <w:next w:val="TextBody"/>
    <w:pPr>
      <w:keepNext/>
      <w:spacing w:before="240" w:after="120"/>
    </w:pPr>
    <w:rPr>
      <w:rFonts w:ascii="Liberation Sans" w:hAnsi="Liberation Sans" w:eastAsia="SimSun" w:cs="Lohit Hindi"/>
      <w:sz w:val="28"/>
      <w:szCs w:val="28"/>
    </w:rPr>
  </w:style>
  <w:style w:type="paragraph" w:styleId="TextBody" w:customStyle="1">
    <w:name w:val="Text Body"/>
    <w:basedOn w:val="Normal"/>
    <w:pPr>
      <w:spacing w:lineRule="auto" w:line="288" w:before="0" w:after="120"/>
    </w:pPr>
    <w:rPr/>
  </w:style>
  <w:style w:type="paragraph" w:styleId="List">
    <w:name w:val="List"/>
    <w:basedOn w:val="TextBody"/>
    <w:pPr/>
    <w:rPr>
      <w:rFonts w:cs="Lohit Hindi"/>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basedOn w:val="Normal"/>
    <w:pPr>
      <w:suppressLineNumbers/>
    </w:pPr>
    <w:rPr>
      <w:rFonts w:cs="Lohit Hindi"/>
    </w:rPr>
  </w:style>
  <w:style w:type="paragraph" w:styleId="Heading11" w:customStyle="1">
    <w:name w:val="Heading 11"/>
    <w:basedOn w:val="Normal"/>
    <w:pPr>
      <w:keepNext/>
      <w:keepLines/>
      <w:spacing w:before="480" w:after="0"/>
    </w:pPr>
    <w:rPr>
      <w:bCs/>
      <w:sz w:val="32"/>
      <w:szCs w:val="32"/>
    </w:rPr>
  </w:style>
  <w:style w:type="paragraph" w:styleId="Heading21" w:customStyle="1">
    <w:name w:val="Heading 21"/>
    <w:basedOn w:val="Normal"/>
    <w:pPr>
      <w:keepNext/>
      <w:keepLines/>
      <w:spacing w:before="280" w:after="280"/>
    </w:pPr>
    <w:rPr>
      <w:bCs/>
      <w:sz w:val="26"/>
      <w:szCs w:val="26"/>
    </w:rPr>
  </w:style>
  <w:style w:type="paragraph" w:styleId="Caption1" w:customStyle="1">
    <w:name w:val="Caption1"/>
    <w:basedOn w:val="Normal"/>
    <w:pPr>
      <w:suppressLineNumbers/>
      <w:spacing w:before="120" w:after="120"/>
    </w:pPr>
    <w:rPr>
      <w:rFonts w:cs="Lohit Hindi"/>
      <w:i/>
      <w:iCs/>
      <w:sz w:val="24"/>
    </w:rPr>
  </w:style>
  <w:style w:type="paragraph" w:styleId="BalloonText">
    <w:name w:val="Balloon Text"/>
    <w:basedOn w:val="Normal"/>
    <w:pPr>
      <w:spacing w:lineRule="atLeast" w:line="100"/>
    </w:pPr>
    <w:rPr>
      <w:rFonts w:ascii="Lucida Grande" w:hAnsi="Lucida Grande" w:cs="Lucida Grande"/>
      <w:sz w:val="18"/>
      <w:szCs w:val="18"/>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2013-07-29T12:13:00Z</dcterms:created>
  <dc:creator>Peter Magenheimer;OpenTBS 1.9.6</dc:creator>
  <dc:language>en-US</dc:language>
  <cp:lastModifiedBy>Markus Fritz</cp:lastModifiedBy>
  <dcterms:modified xsi:type="dcterms:W3CDTF">2015-11-11T13:51:00Z</dcterms:modified>
  <cp:revision>11</cp:revision>
</cp:coreProperties>
</file>