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السيرة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الذاتية</w:t>
      </w:r>
    </w:p>
    <w:p w:rsidR="00000000" w:rsidDel="00000000" w:rsidP="00000000" w:rsidRDefault="00000000" w:rsidRPr="00000000" w14:paraId="00000002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609600</wp:posOffset>
            </wp:positionH>
            <wp:positionV relativeFrom="margin">
              <wp:posOffset>571500</wp:posOffset>
            </wp:positionV>
            <wp:extent cx="1175385" cy="16002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نصير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مزهر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عبود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الخيكاني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التولد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: 1980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متزوج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السكن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تدريسي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ومدير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شؤون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الديوان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رئاسة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اللقب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أستاذ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مساعد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دكتور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التخصص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الاليكتروني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: </w:t>
      </w:r>
      <w:hyperlink r:id="rId7">
        <w:r w:rsidDel="00000000" w:rsidR="00000000" w:rsidRPr="00000000">
          <w:rPr>
            <w:rFonts w:ascii="Simplified Arabic" w:cs="Simplified Arabic" w:eastAsia="Simplified Arabic" w:hAnsi="Simplified Arabic"/>
            <w:color w:val="0000ff"/>
            <w:sz w:val="28"/>
            <w:szCs w:val="28"/>
            <w:u w:val="single"/>
            <w:rtl w:val="0"/>
          </w:rPr>
          <w:t xml:space="preserve">naseer.82@hotmail.com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الموبايل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:  07700684384   -   009647713324003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الشهادات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والرياضية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تخصص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حركي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تخصص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حركي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).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الدبلوم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لايبزيك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 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ألمانيا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الألماني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الآسيوي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المركزي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تحكيمية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المركزي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تحكيمية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للكرة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العابرة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تحكيمية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محلية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المركزي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للكرة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العابرة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الدورة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الإدارية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للملاكات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الاولمبية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اللجنة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الاولمبية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الاكاديمية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الاولمبية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الصحافة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للرياضة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للجميع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رسمية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الحاسوب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الحاسبة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الاليكترونية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"/>
        </w:tabs>
        <w:bidi w:val="1"/>
        <w:spacing w:after="0" w:lineRule="auto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"/>
        </w:tabs>
        <w:bidi w:val="1"/>
        <w:spacing w:after="0" w:lineRule="auto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المراكز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الادارية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الاكاديمية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التي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عملت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معاون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العميد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للشؤون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الادارية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مقرر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الرياضة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الجامعية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رئاسة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شؤون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الديوان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رئاسة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الوحدة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2009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2016 .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النشاطات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الطلابية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المدير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الفني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للمدرسة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الكروية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الكرخ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تدريسي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2009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ولحد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عملت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محاضرا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متوسطة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الوطن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عملت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مدرسا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المدارس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الثانوية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عملت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محاضرا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مادتي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والتعلم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عملت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محاضرا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طرائق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والتعلم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وكرة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"/>
        </w:tabs>
        <w:bidi w:val="1"/>
        <w:spacing w:after="0" w:lineRule="auto"/>
        <w:ind w:left="720" w:firstLine="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"/>
        </w:tabs>
        <w:bidi w:val="1"/>
        <w:spacing w:after="0" w:lineRule="auto"/>
        <w:ind w:left="720" w:firstLine="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"/>
        </w:tabs>
        <w:bidi w:val="1"/>
        <w:spacing w:after="0" w:lineRule="auto"/>
        <w:ind w:left="720" w:firstLine="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"/>
        </w:tabs>
        <w:bidi w:val="1"/>
        <w:spacing w:after="0" w:lineRule="auto"/>
        <w:ind w:left="720" w:firstLine="0"/>
        <w:jc w:val="both"/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اللجان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عملت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اللجنة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الامتحانية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عضو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اللجنة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الامتحانية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لجان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وتحضيرية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مؤتمرات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محلية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وعالمية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لجان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تحضيرية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مؤتمرات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مقرر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اللجنة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مقرر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اللجنة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الجنائي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المشتريات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الموحد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التقويم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استقبال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طلبة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المقبولين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لجان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تدقيقية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لجان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تحقيقية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انضباط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الطلبة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الصيفي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لطلبة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استلام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المباني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والمنشآت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رئاسة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اللجنة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والفرعية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الحفل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الرسمي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لتخرج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طلبة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ind w:left="720" w:hanging="36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لجان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تحقيقية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ind w:left="720" w:hanging="36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لجان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تنفيذية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D">
      <w:pPr>
        <w:tabs>
          <w:tab w:val="left" w:pos="935"/>
        </w:tabs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935"/>
        </w:tabs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الشكر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والتقدير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0"/>
        </w:rPr>
        <w:t xml:space="preserve"> ٥٠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شكر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وتقدير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السيد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وزير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والبحث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والس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ادة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ؤساء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الجامع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والسادة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المساعدين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لرئيس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والس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داء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الكلي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41">
      <w:pPr>
        <w:tabs>
          <w:tab w:val="left" w:pos="935"/>
        </w:tabs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935"/>
        </w:tabs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المؤلفة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والبحوث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المنشورة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والنشاطات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مؤلف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1 .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ind w:left="720" w:hanging="36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بحوث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منشورة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ind w:left="720" w:hanging="36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بالحضور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ونشر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وعضوية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لجان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مؤتمرات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محلية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وعربية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وعالمية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ind w:left="720" w:hanging="36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النشاطات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اللاصفية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للطلبة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والاعمال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التطوعية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والخدمة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المجتمعية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وخارج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الاشراف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tabs>
          <w:tab w:val="left" w:pos="935"/>
        </w:tabs>
        <w:bidi w:val="1"/>
        <w:spacing w:after="0" w:lineRule="auto"/>
        <w:ind w:left="720" w:hanging="36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الاشراف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طلبة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لجان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مناقشاتهم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tabs>
          <w:tab w:val="left" w:pos="935"/>
        </w:tabs>
        <w:bidi w:val="1"/>
        <w:ind w:left="720" w:hanging="360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الاشراف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طلبة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الأولية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مناقشاتهم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B">
      <w:pPr>
        <w:tabs>
          <w:tab w:val="left" w:pos="935"/>
        </w:tabs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276" w:right="1133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aseer.8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