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489A" w14:textId="77777777" w:rsidR="00AE0B81" w:rsidRDefault="00AE0B81" w:rsidP="00115514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Traditional Arabic"/>
          <w:bCs/>
          <w:sz w:val="36"/>
          <w:szCs w:val="36"/>
          <w:rtl/>
          <w:lang w:val="fr-FR" w:eastAsia="fr-FR"/>
        </w:rPr>
      </w:pPr>
      <w:bookmarkStart w:id="0" w:name="_Toc103809767"/>
    </w:p>
    <w:p w14:paraId="39F01CE7" w14:textId="77777777" w:rsidR="00AE0B81" w:rsidRDefault="00AE0B81" w:rsidP="00AE0B81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Simple Bold Jut Out"/>
          <w:bCs/>
          <w:sz w:val="56"/>
          <w:szCs w:val="56"/>
          <w:rtl/>
          <w:lang w:val="fr-FR" w:eastAsia="fr-FR"/>
        </w:rPr>
      </w:pPr>
    </w:p>
    <w:p w14:paraId="4B91A568" w14:textId="77777777" w:rsidR="00AE0B81" w:rsidRDefault="00AE0B81" w:rsidP="00AE0B81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Simple Bold Jut Out"/>
          <w:bCs/>
          <w:sz w:val="56"/>
          <w:szCs w:val="56"/>
          <w:rtl/>
          <w:lang w:val="fr-FR" w:eastAsia="fr-FR"/>
        </w:rPr>
      </w:pPr>
    </w:p>
    <w:p w14:paraId="2D83584E" w14:textId="77777777" w:rsidR="00AE0B81" w:rsidRPr="00AE0B81" w:rsidRDefault="00AE0B81" w:rsidP="00367BF8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Simple Bold Jut Out"/>
          <w:bCs/>
          <w:sz w:val="72"/>
          <w:szCs w:val="72"/>
          <w:rtl/>
          <w:lang w:val="fr-FR" w:eastAsia="fr-FR"/>
        </w:rPr>
      </w:pPr>
      <w:r w:rsidRPr="00AE0B81">
        <w:rPr>
          <w:rFonts w:ascii="Traditional Arabic" w:eastAsia="Traditional Arabic" w:hAnsi="Traditional Arabic" w:cs="Simple Bold Jut Out" w:hint="cs"/>
          <w:bCs/>
          <w:sz w:val="72"/>
          <w:szCs w:val="72"/>
          <w:rtl/>
          <w:lang w:val="fr-FR" w:eastAsia="fr-FR"/>
        </w:rPr>
        <w:t xml:space="preserve">السيرة الذاتية </w:t>
      </w:r>
      <w:r w:rsidR="00367BF8">
        <w:rPr>
          <w:rFonts w:ascii="Traditional Arabic" w:eastAsia="Traditional Arabic" w:hAnsi="Traditional Arabic" w:cs="Simple Bold Jut Out" w:hint="cs"/>
          <w:bCs/>
          <w:sz w:val="72"/>
          <w:szCs w:val="72"/>
          <w:rtl/>
          <w:lang w:val="fr-FR" w:eastAsia="fr-FR"/>
        </w:rPr>
        <w:t>للمؤلف</w:t>
      </w:r>
    </w:p>
    <w:p w14:paraId="22DF73CA" w14:textId="77777777" w:rsidR="00AE0B81" w:rsidRPr="00AE0B81" w:rsidRDefault="00AE0B81" w:rsidP="00AE0B81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Traditional Arabic"/>
          <w:bCs/>
          <w:sz w:val="56"/>
          <w:szCs w:val="56"/>
          <w:rtl/>
          <w:lang w:val="fr-FR" w:eastAsia="fr-FR"/>
        </w:rPr>
      </w:pPr>
    </w:p>
    <w:p w14:paraId="7169E2D9" w14:textId="77777777" w:rsidR="00A348E7" w:rsidRDefault="00A348E7" w:rsidP="00AE0B81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SKR HEAD1 Outlined"/>
          <w:bCs/>
          <w:sz w:val="72"/>
          <w:szCs w:val="72"/>
          <w:rtl/>
          <w:lang w:val="fr-FR" w:eastAsia="fr-FR"/>
        </w:rPr>
      </w:pPr>
    </w:p>
    <w:p w14:paraId="06309034" w14:textId="77777777" w:rsidR="00AE0B81" w:rsidRPr="00AE0B81" w:rsidRDefault="00367BF8" w:rsidP="00A348E7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SKR HEAD1 Outlined"/>
          <w:bCs/>
          <w:sz w:val="72"/>
          <w:szCs w:val="72"/>
          <w:rtl/>
          <w:lang w:val="fr-FR" w:eastAsia="fr-FR"/>
        </w:rPr>
      </w:pPr>
      <w:r>
        <w:rPr>
          <w:rFonts w:ascii="Traditional Arabic" w:eastAsia="Traditional Arabic" w:hAnsi="Traditional Arabic" w:cs="SKR HEAD1 Outlined" w:hint="cs"/>
          <w:bCs/>
          <w:sz w:val="72"/>
          <w:szCs w:val="72"/>
          <w:rtl/>
          <w:lang w:val="fr-FR" w:eastAsia="fr-FR"/>
        </w:rPr>
        <w:t>الحقوقي</w:t>
      </w:r>
      <w:r w:rsidR="00461B32">
        <w:rPr>
          <w:rFonts w:ascii="Traditional Arabic" w:eastAsia="Traditional Arabic" w:hAnsi="Traditional Arabic" w:cs="SKR HEAD1 Outlined" w:hint="cs"/>
          <w:bCs/>
          <w:sz w:val="72"/>
          <w:szCs w:val="72"/>
          <w:rtl/>
          <w:lang w:val="fr-FR" w:eastAsia="fr-FR"/>
        </w:rPr>
        <w:t xml:space="preserve">: </w:t>
      </w:r>
      <w:r w:rsidR="00AE0B81" w:rsidRPr="00AE0B81">
        <w:rPr>
          <w:rFonts w:ascii="Traditional Arabic" w:eastAsia="Traditional Arabic" w:hAnsi="Traditional Arabic" w:cs="SKR HEAD1 Outlined" w:hint="cs"/>
          <w:bCs/>
          <w:sz w:val="72"/>
          <w:szCs w:val="72"/>
          <w:rtl/>
          <w:lang w:val="fr-FR" w:eastAsia="fr-FR"/>
        </w:rPr>
        <w:t>أكرم زاده الكوردي</w:t>
      </w:r>
    </w:p>
    <w:p w14:paraId="1018C7A0" w14:textId="77777777" w:rsidR="00AE0B81" w:rsidRPr="00AE0B81" w:rsidRDefault="00AE0B81" w:rsidP="00AE0B81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Traditional Arabic"/>
          <w:bCs/>
          <w:sz w:val="56"/>
          <w:szCs w:val="56"/>
          <w:rtl/>
          <w:lang w:val="fr-FR" w:eastAsia="fr-FR"/>
        </w:rPr>
      </w:pPr>
    </w:p>
    <w:p w14:paraId="21AF0976" w14:textId="77777777" w:rsidR="00A348E7" w:rsidRDefault="00A348E7" w:rsidP="00AE0B81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Al-Mothnna"/>
          <w:bCs/>
          <w:sz w:val="44"/>
          <w:szCs w:val="44"/>
          <w:rtl/>
          <w:lang w:val="fr-FR" w:eastAsia="fr-FR"/>
        </w:rPr>
      </w:pPr>
    </w:p>
    <w:p w14:paraId="530AC085" w14:textId="77777777" w:rsidR="00A348E7" w:rsidRDefault="00A348E7" w:rsidP="00A348E7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Al-Mothnna"/>
          <w:bCs/>
          <w:sz w:val="44"/>
          <w:szCs w:val="44"/>
          <w:rtl/>
          <w:lang w:val="fr-FR" w:eastAsia="fr-FR"/>
        </w:rPr>
      </w:pPr>
    </w:p>
    <w:p w14:paraId="5E888130" w14:textId="77777777" w:rsidR="00AE0B81" w:rsidRPr="00A348E7" w:rsidRDefault="00AE0B81" w:rsidP="00A348E7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Al-Mothnna"/>
          <w:bCs/>
          <w:sz w:val="44"/>
          <w:szCs w:val="44"/>
          <w:rtl/>
          <w:lang w:val="fr-FR" w:eastAsia="fr-FR"/>
        </w:rPr>
      </w:pPr>
      <w:r w:rsidRPr="00A348E7">
        <w:rPr>
          <w:rFonts w:ascii="Traditional Arabic" w:eastAsia="Traditional Arabic" w:hAnsi="Traditional Arabic" w:cs="Al-Mothnna" w:hint="cs"/>
          <w:bCs/>
          <w:sz w:val="44"/>
          <w:szCs w:val="44"/>
          <w:rtl/>
          <w:lang w:val="fr-FR" w:eastAsia="fr-FR"/>
        </w:rPr>
        <w:t xml:space="preserve">المتخصص في مجال أحكام الأطفال في القانون </w:t>
      </w:r>
    </w:p>
    <w:p w14:paraId="35D0E43B" w14:textId="77777777" w:rsidR="00AE0B81" w:rsidRDefault="00AE0B81" w:rsidP="00AE0B81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Traditional Arabic"/>
          <w:bCs/>
          <w:sz w:val="36"/>
          <w:szCs w:val="36"/>
          <w:rtl/>
          <w:lang w:val="fr-FR" w:eastAsia="fr-FR"/>
        </w:rPr>
      </w:pPr>
    </w:p>
    <w:p w14:paraId="29D08473" w14:textId="77777777" w:rsidR="00AE0B81" w:rsidRPr="00CA2B49" w:rsidRDefault="00CA2B49" w:rsidP="00AE0B81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Al-Mothnna"/>
          <w:bCs/>
          <w:sz w:val="44"/>
          <w:szCs w:val="44"/>
          <w:rtl/>
          <w:lang w:val="fr-FR" w:eastAsia="fr-FR"/>
        </w:rPr>
      </w:pPr>
      <w:r w:rsidRPr="00CA2B49">
        <w:rPr>
          <w:rFonts w:ascii="Traditional Arabic" w:eastAsia="Traditional Arabic" w:hAnsi="Traditional Arabic" w:cs="Al-Mothnna" w:hint="cs"/>
          <w:bCs/>
          <w:sz w:val="44"/>
          <w:szCs w:val="44"/>
          <w:rtl/>
          <w:lang w:val="fr-FR" w:eastAsia="fr-FR"/>
        </w:rPr>
        <w:t>عملياً وأكاديمياً</w:t>
      </w:r>
    </w:p>
    <w:p w14:paraId="3F760186" w14:textId="77777777" w:rsidR="00AE0B81" w:rsidRDefault="00AE0B81" w:rsidP="00AE0B81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Traditional Arabic"/>
          <w:bCs/>
          <w:sz w:val="36"/>
          <w:szCs w:val="36"/>
          <w:rtl/>
          <w:lang w:val="fr-FR" w:eastAsia="fr-FR"/>
        </w:rPr>
      </w:pPr>
    </w:p>
    <w:p w14:paraId="2D25520A" w14:textId="77777777" w:rsidR="00A348E7" w:rsidRDefault="00A348E7" w:rsidP="00A348E7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Traditional Arabic"/>
          <w:bCs/>
          <w:sz w:val="36"/>
          <w:szCs w:val="36"/>
          <w:rtl/>
          <w:lang w:val="fr-FR" w:eastAsia="fr-FR"/>
        </w:rPr>
      </w:pPr>
    </w:p>
    <w:p w14:paraId="0BC913BE" w14:textId="77777777" w:rsidR="00A348E7" w:rsidRDefault="00A348E7" w:rsidP="00A348E7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Traditional Arabic"/>
          <w:bCs/>
          <w:sz w:val="36"/>
          <w:szCs w:val="36"/>
          <w:rtl/>
          <w:lang w:val="fr-FR" w:eastAsia="fr-FR"/>
        </w:rPr>
      </w:pPr>
    </w:p>
    <w:p w14:paraId="3C0705CA" w14:textId="77777777" w:rsidR="00A348E7" w:rsidRDefault="00A348E7" w:rsidP="00A348E7">
      <w:pPr>
        <w:keepNext/>
        <w:keepLines/>
        <w:bidi/>
        <w:spacing w:after="0" w:line="240" w:lineRule="auto"/>
        <w:jc w:val="center"/>
        <w:outlineLvl w:val="0"/>
        <w:rPr>
          <w:rFonts w:ascii="Traditional Arabic" w:eastAsia="Traditional Arabic" w:hAnsi="Traditional Arabic" w:cs="Traditional Arabic"/>
          <w:bCs/>
          <w:sz w:val="36"/>
          <w:szCs w:val="36"/>
          <w:rtl/>
          <w:lang w:val="fr-FR" w:eastAsia="fr-FR"/>
        </w:rPr>
      </w:pPr>
    </w:p>
    <w:bookmarkEnd w:id="0"/>
    <w:p w14:paraId="7475DED6" w14:textId="77777777" w:rsidR="00115514" w:rsidRPr="00461B32" w:rsidRDefault="00115514" w:rsidP="00115514">
      <w:pPr>
        <w:numPr>
          <w:ilvl w:val="0"/>
          <w:numId w:val="3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lastRenderedPageBreak/>
        <w:t>معلومات شخصية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:</w:t>
      </w:r>
    </w:p>
    <w:p w14:paraId="68F2AA61" w14:textId="77777777" w:rsidR="00115514" w:rsidRPr="00461B32" w:rsidRDefault="00115514" w:rsidP="00115514">
      <w:pPr>
        <w:numPr>
          <w:ilvl w:val="0"/>
          <w:numId w:val="11"/>
        </w:numPr>
        <w:tabs>
          <w:tab w:val="left" w:pos="566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الاسم واللقب: أكرم زاده الكوردي.</w:t>
      </w:r>
    </w:p>
    <w:p w14:paraId="407F4825" w14:textId="77777777" w:rsidR="00115514" w:rsidRPr="00461B32" w:rsidRDefault="00115514" w:rsidP="00115514">
      <w:pPr>
        <w:numPr>
          <w:ilvl w:val="0"/>
          <w:numId w:val="11"/>
        </w:numPr>
        <w:tabs>
          <w:tab w:val="left" w:pos="566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مواليد: كوردستان العراق/ 1976.</w:t>
      </w:r>
    </w:p>
    <w:p w14:paraId="6DFF8569" w14:textId="77777777" w:rsidR="00115514" w:rsidRPr="00461B32" w:rsidRDefault="00115514" w:rsidP="00115514">
      <w:pPr>
        <w:numPr>
          <w:ilvl w:val="0"/>
          <w:numId w:val="11"/>
        </w:numPr>
        <w:tabs>
          <w:tab w:val="left" w:pos="566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مسقط الرأس: قرية برآش التابعة لناحية سرسنك قضاء العمادية محافظة دهوك.</w:t>
      </w:r>
    </w:p>
    <w:p w14:paraId="7EAE0267" w14:textId="77777777" w:rsidR="00115514" w:rsidRPr="00461B32" w:rsidRDefault="00115514" w:rsidP="00115514">
      <w:pPr>
        <w:numPr>
          <w:ilvl w:val="0"/>
          <w:numId w:val="11"/>
        </w:numPr>
        <w:tabs>
          <w:tab w:val="left" w:pos="566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الدراسة: أنهى دراسته الإبتدائية والمتوسطة والإعدادية والجامعية داخل محافظة دهوك.</w:t>
      </w:r>
    </w:p>
    <w:p w14:paraId="749F33F5" w14:textId="77777777" w:rsidR="00115514" w:rsidRPr="00461B32" w:rsidRDefault="00115514" w:rsidP="00115514">
      <w:pPr>
        <w:numPr>
          <w:ilvl w:val="0"/>
          <w:numId w:val="11"/>
        </w:numPr>
        <w:tabs>
          <w:tab w:val="left" w:pos="566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تخرج من كلية القانون والسياسة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-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قسم القانون جامعة دهوك،</w:t>
      </w:r>
      <w:r w:rsidR="00FD3C96">
        <w:rPr>
          <w:rFonts w:ascii="Traditional Arabic" w:eastAsia="Times New Roman" w:hAnsi="Traditional Arabic" w:cs="Traditional Arabic"/>
          <w:b/>
          <w:sz w:val="36"/>
          <w:szCs w:val="36"/>
        </w:rPr>
        <w:t xml:space="preserve"> 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عام 2001م وبتفوق، حيث كان ترتيبه الثالث على الكلية.</w:t>
      </w:r>
    </w:p>
    <w:p w14:paraId="1A9938AA" w14:textId="77777777" w:rsidR="00115514" w:rsidRPr="00461B32" w:rsidRDefault="00115514" w:rsidP="00115514">
      <w:pPr>
        <w:numPr>
          <w:ilvl w:val="0"/>
          <w:numId w:val="11"/>
        </w:numPr>
        <w:tabs>
          <w:tab w:val="left" w:pos="566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حصل على شهادة الماجستير في الق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انون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المقارنة عام 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2014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من 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كلية أحمد إبراهيم للحقوق، جامعة 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</w:rPr>
        <w:t>IIUM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بماليزيا، بتقدير جيد جداً.</w:t>
      </w:r>
    </w:p>
    <w:p w14:paraId="031F9293" w14:textId="77777777" w:rsidR="00115514" w:rsidRPr="00461B32" w:rsidRDefault="00115514" w:rsidP="00115514">
      <w:pPr>
        <w:numPr>
          <w:ilvl w:val="0"/>
          <w:numId w:val="11"/>
        </w:numPr>
        <w:tabs>
          <w:tab w:val="left" w:pos="566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الوظيفة: منذ تعينه في المجمع القضائي في محافظة دهوك عام 2003م، فإنه قد عمل في عدد من المحاكم وفق الترتيب الآتي: محكمة البداءة -مدنية، محكمة الجنح-جزائية، محكمة الأحوال الشخصية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أو ما يسمى بالمحكمة الشرعية أو الأسرة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، محكمة الأحداث – جزائية خاصة بالأطفال، محكمة التحقيق، وعضو احتياط محكمة أحداث دهوك سابقاً.</w:t>
      </w:r>
    </w:p>
    <w:p w14:paraId="6D46C972" w14:textId="77777777" w:rsidR="00115514" w:rsidRPr="00461B32" w:rsidRDefault="00115514" w:rsidP="00115514">
      <w:pPr>
        <w:numPr>
          <w:ilvl w:val="0"/>
          <w:numId w:val="11"/>
        </w:numPr>
        <w:tabs>
          <w:tab w:val="left" w:pos="566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الوظيفة الحالية: محقق قضائي في محكمة 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ال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تحقيق دهوك، مخصص في مجال التحقيق مع الأحداث. </w:t>
      </w:r>
    </w:p>
    <w:p w14:paraId="4FAB1586" w14:textId="77777777" w:rsidR="00115514" w:rsidRPr="00461B32" w:rsidRDefault="00115514" w:rsidP="00461B32">
      <w:pPr>
        <w:numPr>
          <w:ilvl w:val="0"/>
          <w:numId w:val="11"/>
        </w:numPr>
        <w:tabs>
          <w:tab w:val="left" w:pos="566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خبير قضائي محلف منذ عام 2007م لدى محكمة إستئناف منطقة دهوك، وقدّم العديد من الخبرات القضائية لمحاكم </w:t>
      </w:r>
      <w:r w:rsid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ا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ستئناف منطقة دهوك.</w:t>
      </w:r>
    </w:p>
    <w:p w14:paraId="716590DD" w14:textId="77777777" w:rsidR="00115514" w:rsidRPr="00461B32" w:rsidRDefault="00115514" w:rsidP="00115514">
      <w:pPr>
        <w:bidi/>
        <w:spacing w:after="0" w:line="240" w:lineRule="auto"/>
        <w:ind w:firstLine="567"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br w:type="page"/>
      </w:r>
    </w:p>
    <w:p w14:paraId="607370A9" w14:textId="77777777" w:rsidR="00115514" w:rsidRPr="00461B32" w:rsidRDefault="00115514" w:rsidP="00115514">
      <w:pPr>
        <w:numPr>
          <w:ilvl w:val="0"/>
          <w:numId w:val="3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Cs/>
          <w:sz w:val="36"/>
          <w:szCs w:val="36"/>
          <w:u w:val="single"/>
          <w:rtl/>
        </w:rPr>
        <w:lastRenderedPageBreak/>
        <w:t>المؤلفات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:</w:t>
      </w:r>
    </w:p>
    <w:p w14:paraId="47B5DF55" w14:textId="77777777" w:rsidR="00115514" w:rsidRPr="00461B32" w:rsidRDefault="00115514" w:rsidP="00115514">
      <w:pPr>
        <w:numPr>
          <w:ilvl w:val="1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F2B5A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>حماية النساء في النزاعات المسلحة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، نشر عام 2006 من قبل منظمة نشر الثقافة القانونية في كوردستان العراق.</w:t>
      </w:r>
    </w:p>
    <w:p w14:paraId="274594D9" w14:textId="77777777" w:rsidR="00A40BDB" w:rsidRPr="00461B32" w:rsidRDefault="00115514" w:rsidP="00A40BDB">
      <w:pPr>
        <w:numPr>
          <w:ilvl w:val="1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F2B5A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>شرح قانون رعاية الأحداث رقم 76 لسنة 1983 المعدل وتطبيقاته العملية،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نشر عام 2010م من قبل مركز القانون المقارن في أربيل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-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كوردستان العراق.</w:t>
      </w:r>
    </w:p>
    <w:p w14:paraId="336C21EC" w14:textId="77777777" w:rsidR="00A40BDB" w:rsidRPr="00461B32" w:rsidRDefault="00115514" w:rsidP="00A40BDB">
      <w:pPr>
        <w:numPr>
          <w:ilvl w:val="1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F2B5A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>أحكام الحضانة في قانون الأحوال الشخصية العراقي</w:t>
      </w:r>
      <w:r w:rsidRPr="004F2B5A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: </w:t>
      </w:r>
      <w:r w:rsidRPr="004F2B5A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>دراسة مقارنة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، نشر عام 2017م، مطبعة محافظة دهوك، دهوك، إقليم كوردستان العراق.</w:t>
      </w:r>
      <w:r w:rsidR="00CA2B49"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(رسالة ماجستير)</w:t>
      </w:r>
    </w:p>
    <w:p w14:paraId="565E3373" w14:textId="77777777" w:rsidR="00A40BDB" w:rsidRPr="00461B32" w:rsidRDefault="00A40BDB" w:rsidP="00A40BDB">
      <w:p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18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</w:p>
    <w:p w14:paraId="76E89F03" w14:textId="77777777" w:rsidR="00A40BDB" w:rsidRPr="00461B32" w:rsidRDefault="00A40BDB" w:rsidP="00A40BDB">
      <w:pPr>
        <w:numPr>
          <w:ilvl w:val="0"/>
          <w:numId w:val="3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18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>المؤلفات الجاهزة للطبع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:</w:t>
      </w:r>
    </w:p>
    <w:p w14:paraId="552926EE" w14:textId="77777777" w:rsidR="00A40BDB" w:rsidRPr="00461B32" w:rsidRDefault="00A40BDB" w:rsidP="00A40BDB">
      <w:pPr>
        <w:numPr>
          <w:ilvl w:val="1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أحكام الصغار في قانون رعاية الأحداث العراقي والتشريعات العربية.</w:t>
      </w:r>
    </w:p>
    <w:p w14:paraId="26C76795" w14:textId="77777777" w:rsidR="00A40BDB" w:rsidRPr="00461B32" w:rsidRDefault="00A40BDB" w:rsidP="00A40BDB">
      <w:pPr>
        <w:numPr>
          <w:ilvl w:val="1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أحكام الصغار في قانون رعاية 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القاصرين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العراقي والتشريعات العربي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ة.</w:t>
      </w:r>
    </w:p>
    <w:p w14:paraId="4ADD80EA" w14:textId="77777777" w:rsidR="00A40BDB" w:rsidRDefault="00A40BDB" w:rsidP="00A40BDB">
      <w:pPr>
        <w:numPr>
          <w:ilvl w:val="1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أحكام الصغار في قانون الأحوال الشخصية العراقي والتشريعات العربية.</w:t>
      </w:r>
    </w:p>
    <w:p w14:paraId="2EA77D48" w14:textId="77777777" w:rsidR="00367BF8" w:rsidRPr="00461B32" w:rsidRDefault="00367BF8" w:rsidP="00367BF8">
      <w:pPr>
        <w:numPr>
          <w:ilvl w:val="1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أحكام الضمان الاجتماعي للصغار في القانون العراقي.</w:t>
      </w:r>
    </w:p>
    <w:p w14:paraId="6A7DF8B0" w14:textId="77777777" w:rsidR="00336B95" w:rsidRPr="00461B32" w:rsidRDefault="00336B95" w:rsidP="00336B95">
      <w:pPr>
        <w:numPr>
          <w:ilvl w:val="1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المعين القضائي في قضاء الأحداث العراقي.</w:t>
      </w:r>
    </w:p>
    <w:p w14:paraId="7DBA675A" w14:textId="77777777" w:rsidR="00A40BDB" w:rsidRPr="00461B32" w:rsidRDefault="00A40BDB" w:rsidP="00A40BDB">
      <w:pPr>
        <w:numPr>
          <w:ilvl w:val="1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أبحاث قانونية: (القانون الجنائي، القانون الدستوري، قانون الأحوال الشخصية، قانون الدولي الإنساني، قانون الدولي العام).</w:t>
      </w:r>
    </w:p>
    <w:p w14:paraId="731BEBB7" w14:textId="77777777" w:rsidR="00115514" w:rsidRPr="00461B32" w:rsidRDefault="00115514" w:rsidP="00115514">
      <w:p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</w:p>
    <w:p w14:paraId="112ECDC9" w14:textId="77777777" w:rsidR="00115514" w:rsidRPr="00461B32" w:rsidRDefault="00115514" w:rsidP="00A40BDB">
      <w:pPr>
        <w:pStyle w:val="ListParagraph"/>
        <w:numPr>
          <w:ilvl w:val="0"/>
          <w:numId w:val="3"/>
        </w:numPr>
        <w:bidi/>
        <w:spacing w:after="0" w:line="240" w:lineRule="auto"/>
        <w:ind w:left="418"/>
        <w:rPr>
          <w:rFonts w:ascii="Traditional Arabic" w:eastAsia="Times New Roman" w:hAnsi="Traditional Arabic" w:cs="Traditional Arabic"/>
          <w:bCs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Cs/>
          <w:sz w:val="36"/>
          <w:szCs w:val="36"/>
          <w:u w:val="single"/>
          <w:rtl/>
        </w:rPr>
        <w:t>البحوث المنشورة في المجلات الأكاديمية</w:t>
      </w:r>
      <w:r w:rsidR="00A40BDB"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 xml:space="preserve"> الدولية المحكمة </w:t>
      </w:r>
      <w:r w:rsidR="00156754"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>بخصوص قانون رعاية الأحداث</w:t>
      </w:r>
      <w:r w:rsidRPr="00461B32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>:</w:t>
      </w:r>
      <w:r w:rsidRPr="00461B32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 </w:t>
      </w:r>
    </w:p>
    <w:p w14:paraId="4B9946B3" w14:textId="77777777" w:rsidR="00156754" w:rsidRPr="00461B32" w:rsidRDefault="00156754" w:rsidP="0015675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التشرد والانحراف في قانون الأحداث العراقي والأردني: دراسة مقارنة.</w:t>
      </w:r>
    </w:p>
    <w:p w14:paraId="523A2116" w14:textId="77777777" w:rsidR="00156754" w:rsidRPr="00461B32" w:rsidRDefault="00156754" w:rsidP="0015675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دور ومسؤولية الأسرة والمدرسة في وقاية الأحداث من التشرد والجنوح: دراسة مقارنة.</w:t>
      </w:r>
    </w:p>
    <w:p w14:paraId="1B141D97" w14:textId="77777777" w:rsidR="00156754" w:rsidRPr="00461B32" w:rsidRDefault="00156754" w:rsidP="0015675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ضمّ الصغير في قانون الأحداث العراقي والأردني.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</w:t>
      </w:r>
    </w:p>
    <w:p w14:paraId="6DBFE01A" w14:textId="77777777" w:rsidR="00156754" w:rsidRPr="00461B32" w:rsidRDefault="00156754" w:rsidP="0015675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التحقيق مع الحدث: دراسة مقارنة بين القانون العراقي واللبناني.</w:t>
      </w:r>
    </w:p>
    <w:p w14:paraId="750532C3" w14:textId="77777777" w:rsidR="00156754" w:rsidRPr="00461B32" w:rsidRDefault="00156754" w:rsidP="0015675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خصوصيات المتهم الحدث خلال مرحلة المحاكمة في قانون الأحداث العراقي واللبناني.</w:t>
      </w:r>
    </w:p>
    <w:p w14:paraId="637963A4" w14:textId="77777777" w:rsidR="00156754" w:rsidRPr="00461B32" w:rsidRDefault="00156754" w:rsidP="0015675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lastRenderedPageBreak/>
        <w:t>دراسة شخصية المتهم الحدث خلال مرحلتي التحقيق والمحاكمة في القانون العراقي واللبناني دراسة مقارنة.</w:t>
      </w:r>
    </w:p>
    <w:p w14:paraId="42F06DB5" w14:textId="77777777" w:rsidR="00156754" w:rsidRPr="00461B32" w:rsidRDefault="00156754" w:rsidP="0015675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التدابير: أنواعها، إيقاف تنفيذها، والإفراج عنها شرطياً في القانون العراقي واللبناني والأردني.</w:t>
      </w:r>
    </w:p>
    <w:p w14:paraId="1CAD9E82" w14:textId="77777777" w:rsidR="00A40BDB" w:rsidRPr="00461B32" w:rsidRDefault="00A40BDB" w:rsidP="00A40BDB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تدبير مراقبة السلوك في قانون الأحداث العراقي والأردني: دراسة مقارنة.</w:t>
      </w:r>
    </w:p>
    <w:p w14:paraId="4BA6AE54" w14:textId="77777777" w:rsidR="00A40BDB" w:rsidRDefault="00A40BDB" w:rsidP="00A40BDB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الرعاية اللاحقة في قانون الأحداث العراقي والأردني: دراسة مقارنة.</w:t>
      </w:r>
    </w:p>
    <w:p w14:paraId="547AA2D5" w14:textId="77777777" w:rsidR="00461B32" w:rsidRPr="00461B32" w:rsidRDefault="00461B32" w:rsidP="00461B32">
      <w:p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</w:p>
    <w:p w14:paraId="7FC5A8CE" w14:textId="77777777" w:rsidR="00156754" w:rsidRPr="00461B32" w:rsidRDefault="00461B32" w:rsidP="00461B32">
      <w:pPr>
        <w:pStyle w:val="ListParagraph"/>
        <w:numPr>
          <w:ilvl w:val="0"/>
          <w:numId w:val="3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 xml:space="preserve"> </w:t>
      </w:r>
      <w:r w:rsidR="00156754" w:rsidRPr="00461B32">
        <w:rPr>
          <w:rFonts w:ascii="Traditional Arabic" w:eastAsia="Times New Roman" w:hAnsi="Traditional Arabic" w:cs="Traditional Arabic"/>
          <w:bCs/>
          <w:sz w:val="36"/>
          <w:szCs w:val="36"/>
          <w:u w:val="single"/>
          <w:rtl/>
        </w:rPr>
        <w:t>البحوث المنشورة في المجلات الأكاديمية</w:t>
      </w:r>
      <w:r w:rsidR="00156754"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 xml:space="preserve"> الدولية المحكمة بخصوص قانون</w:t>
      </w:r>
      <w:r w:rsidR="00CA2B49"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>ي</w:t>
      </w:r>
      <w:r w:rsidR="00156754"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 xml:space="preserve"> رعاية القاصرين</w:t>
      </w:r>
      <w:r w:rsidR="00CA2B49"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 xml:space="preserve"> والأحوال الشخصية</w:t>
      </w:r>
      <w:r w:rsidR="00156754"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 xml:space="preserve">: </w:t>
      </w:r>
    </w:p>
    <w:p w14:paraId="5CE9E876" w14:textId="77777777" w:rsidR="00115514" w:rsidRPr="00461B32" w:rsidRDefault="00115514" w:rsidP="0015675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إثبات النسب ونفيه على ضوء الاستكشافات الطبية: دراسة مقارنة بين القانون العراقي و(الشريعة الإسلامية والتشريعات العربية).</w:t>
      </w:r>
    </w:p>
    <w:p w14:paraId="1487DA00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البحث الاجتماعي في قانون رعاية القاصرين العراقي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.</w:t>
      </w:r>
    </w:p>
    <w:p w14:paraId="3AC2F164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القاصر المأذون والمتزوج في القانون العراقي والمصري.</w:t>
      </w:r>
    </w:p>
    <w:p w14:paraId="63B3566D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أحكام النسب: دراسة مقارنة بين القانون العراقي و(الشريعة الإسلامية والتشريعات العربية).</w:t>
      </w:r>
    </w:p>
    <w:p w14:paraId="72079047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النفقة من أموال القاصر في القانونين العراقي والمصري دراسة مقارنة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.</w:t>
      </w:r>
    </w:p>
    <w:p w14:paraId="2736D73A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الوصاية على أموال القاصر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: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دراسة مقارنة بين القانونين العراقي والمصري.</w:t>
      </w:r>
    </w:p>
    <w:p w14:paraId="7DEB810B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الولاية على أموال القاصر في القانون العراقي والمصري دراسة مقارنة.</w:t>
      </w:r>
    </w:p>
    <w:p w14:paraId="4EC26CF2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حفظ وصيانة أموال القاصر دراسة مقارنة بين القانونين العراقي والمصري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.</w:t>
      </w:r>
    </w:p>
    <w:p w14:paraId="13DA53C3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أحكام رضاعة الصغير: دراسة مقارنة بين القانون العراقي و(الشريعة الإسلامية والتشريعات العربية).</w:t>
      </w:r>
    </w:p>
    <w:p w14:paraId="39CC1D22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أحكام زواج الصغار: 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دراسة مقارنة بين القانون العراقي و(الشريعة الإسلامية والتشريعات العربية).</w:t>
      </w:r>
    </w:p>
    <w:p w14:paraId="66866B27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محاسبة الأولياء والأوصياء في القانونين العراقي والمصري.</w:t>
      </w:r>
    </w:p>
    <w:p w14:paraId="4DC9B426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lastRenderedPageBreak/>
        <w:t xml:space="preserve">أحكام نفقة الأولاد: 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دراسة مقارنة بين القانون العراقي و(الشريعة الإسلامية والتشريعات العربية).</w:t>
      </w:r>
    </w:p>
    <w:p w14:paraId="4E10EEBE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استثمار أموال القاصرين في القانون العراقي. </w:t>
      </w:r>
    </w:p>
    <w:p w14:paraId="7AA3E029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سلطة الولي في إجراء التصرفات العقارية دراسة مقارنة في التشريعات العراقية.</w:t>
      </w:r>
    </w:p>
    <w:p w14:paraId="7BDB8FBC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سلطة الولي والوصي في إيجار عقار القاصر: دراسة مقارنة بين القانونين العراقي والمصري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.</w:t>
      </w:r>
    </w:p>
    <w:p w14:paraId="31260F77" w14:textId="77777777" w:rsidR="00115514" w:rsidRPr="00461B32" w:rsidRDefault="00115514" w:rsidP="00115514">
      <w:pPr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مفهوم القاصر وأهليته في القانون العراقي والمصري.</w:t>
      </w:r>
    </w:p>
    <w:p w14:paraId="1C2C1EED" w14:textId="77777777" w:rsidR="00CA2B49" w:rsidRPr="00461B32" w:rsidRDefault="00CA2B49" w:rsidP="00CA2B49">
      <w:pPr>
        <w:tabs>
          <w:tab w:val="left" w:pos="397"/>
          <w:tab w:val="center" w:pos="3543"/>
        </w:tabs>
        <w:bidi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</w:p>
    <w:p w14:paraId="63AB23A4" w14:textId="77777777" w:rsidR="00367BF8" w:rsidRPr="00367BF8" w:rsidRDefault="00367BF8" w:rsidP="00367BF8">
      <w:pPr>
        <w:pStyle w:val="ListParagraph"/>
        <w:numPr>
          <w:ilvl w:val="0"/>
          <w:numId w:val="3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367BF8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البحوث المنشورة في المجلات الأكاديمية</w:t>
      </w:r>
      <w:r w:rsidRPr="00367BF8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 xml:space="preserve"> الدولية المحكمة بخصوص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 xml:space="preserve"> قانون الرعاية الاجتماعية وقانون الحماية الاجتماعية:</w:t>
      </w:r>
    </w:p>
    <w:p w14:paraId="3783379A" w14:textId="77777777" w:rsidR="00367BF8" w:rsidRPr="00367BF8" w:rsidRDefault="00367BF8" w:rsidP="00367BF8">
      <w:pPr>
        <w:pStyle w:val="ListParagraph"/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367BF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الحماية الاجتماعية للأطفال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في القانون العراقي.</w:t>
      </w:r>
    </w:p>
    <w:p w14:paraId="3FF8CD70" w14:textId="77777777" w:rsidR="00367BF8" w:rsidRDefault="00367BF8" w:rsidP="00367BF8">
      <w:pPr>
        <w:pStyle w:val="ListParagraph"/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367BF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دور الدولة الخاصة بالأطفال في قانون الرعاية الاجتماعية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.</w:t>
      </w:r>
    </w:p>
    <w:p w14:paraId="46EE07E5" w14:textId="0C85239B" w:rsidR="00367BF8" w:rsidRDefault="00367BF8" w:rsidP="00367BF8">
      <w:pPr>
        <w:pStyle w:val="ListParagraph"/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367BF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الهيكل التنظيمي لدور الرعاية الاجتماعية للفئات العمرية دون سن الثامنة عشرة، والمهام المنوطة بها؛ والمشكلات التي تعاني منها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.</w:t>
      </w:r>
    </w:p>
    <w:p w14:paraId="6AB39C8A" w14:textId="77777777" w:rsidR="0021109E" w:rsidRPr="0021109E" w:rsidRDefault="0021109E" w:rsidP="0021109E">
      <w:pPr>
        <w:tabs>
          <w:tab w:val="left" w:pos="397"/>
          <w:tab w:val="center" w:pos="3543"/>
        </w:tabs>
        <w:bidi/>
        <w:spacing w:after="0" w:line="240" w:lineRule="auto"/>
        <w:ind w:left="58"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</w:p>
    <w:p w14:paraId="30A52881" w14:textId="77777777" w:rsidR="0021109E" w:rsidRPr="00944FCF" w:rsidRDefault="0021109E" w:rsidP="0021109E">
      <w:pPr>
        <w:numPr>
          <w:ilvl w:val="0"/>
          <w:numId w:val="3"/>
        </w:numPr>
        <w:tabs>
          <w:tab w:val="left" w:pos="397"/>
          <w:tab w:val="center" w:pos="3543"/>
        </w:tabs>
        <w:bidi/>
        <w:spacing w:after="0" w:line="240" w:lineRule="auto"/>
        <w:ind w:left="418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944FCF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 xml:space="preserve">البحوث المنشورة في المجلات الأكاديمية الدولية المحكمة بخصوص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قانون العقوبات</w:t>
      </w:r>
      <w:r w:rsidRPr="00944FCF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:</w:t>
      </w:r>
    </w:p>
    <w:p w14:paraId="4B0FB594" w14:textId="68A377E9" w:rsidR="0021109E" w:rsidRPr="0021109E" w:rsidRDefault="0021109E" w:rsidP="0021109E">
      <w:pPr>
        <w:pStyle w:val="ListParagraph"/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21109E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شروط تمتّع الأم التي تقتل طفلها حديث الولادة بالعذر المخفف</w:t>
      </w:r>
      <w:r w:rsidRPr="0021109E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: </w:t>
      </w:r>
      <w:r w:rsidRPr="0021109E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دراسة مقارنة بين قانون العقوبات العراقي والتشريعات العربية</w:t>
      </w:r>
      <w:r w:rsidRPr="0021109E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.</w:t>
      </w:r>
    </w:p>
    <w:p w14:paraId="34B1BD99" w14:textId="1D23F864" w:rsidR="004F2B5A" w:rsidRPr="0021109E" w:rsidRDefault="004F2B5A" w:rsidP="004F2B5A">
      <w:pPr>
        <w:pStyle w:val="ListParagraph"/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</w:p>
    <w:p w14:paraId="21C37585" w14:textId="77777777" w:rsidR="00CA2B49" w:rsidRPr="00461B32" w:rsidRDefault="00CA2B49" w:rsidP="00367BF8">
      <w:pPr>
        <w:pStyle w:val="ListParagraph"/>
        <w:numPr>
          <w:ilvl w:val="0"/>
          <w:numId w:val="3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Cs/>
          <w:sz w:val="36"/>
          <w:szCs w:val="36"/>
          <w:u w:val="single"/>
          <w:rtl/>
        </w:rPr>
        <w:t>البحوث المنشورة في المجلات الأكاديمية</w:t>
      </w:r>
      <w:r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 xml:space="preserve"> الدولية المحكمة بخصوص قوانين أخرى: </w:t>
      </w:r>
    </w:p>
    <w:p w14:paraId="6280281C" w14:textId="77777777" w:rsidR="00CA2B49" w:rsidRPr="00461B32" w:rsidRDefault="00CA2B49" w:rsidP="00CA2B49">
      <w:pPr>
        <w:pStyle w:val="ListParagraph"/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شروط تعدد الزوجات واستخدام الحيلة كوسيلة قانونية من قبل الأفراد في القانونين العراقي والماليزي.</w:t>
      </w:r>
    </w:p>
    <w:p w14:paraId="698FAE3C" w14:textId="77777777" w:rsidR="00CA2B49" w:rsidRPr="00461B32" w:rsidRDefault="00CA2B49" w:rsidP="00CA2B49">
      <w:pPr>
        <w:pStyle w:val="ListParagraph"/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أضواء على الكفالة الجزائية وتطبيقاتها القضائية.</w:t>
      </w:r>
    </w:p>
    <w:p w14:paraId="481C1B7F" w14:textId="77777777" w:rsidR="00CA2B49" w:rsidRPr="00461B32" w:rsidRDefault="00CA2B49" w:rsidP="00CA2B49">
      <w:pPr>
        <w:pStyle w:val="ListParagraph"/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إجراءات تشريع القوانين والتعديلات الدستورية في ماليزيا والعراق: دراسة مقارنة.</w:t>
      </w:r>
    </w:p>
    <w:p w14:paraId="7957BFF5" w14:textId="77777777" w:rsidR="00CA2B49" w:rsidRPr="00461B32" w:rsidRDefault="00CA2B49" w:rsidP="00CA2B49">
      <w:pPr>
        <w:pStyle w:val="ListParagraph"/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أحكام الأمر الجزائي في قانون أصول المحاكمات الجزائية العراقي.</w:t>
      </w:r>
    </w:p>
    <w:p w14:paraId="366C1EA1" w14:textId="77777777" w:rsidR="00CA2B49" w:rsidRPr="00461B32" w:rsidRDefault="00CA2B49" w:rsidP="00CA2B49">
      <w:pPr>
        <w:pStyle w:val="ListParagraph"/>
        <w:numPr>
          <w:ilvl w:val="0"/>
          <w:numId w:val="7"/>
        </w:numPr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lastRenderedPageBreak/>
        <w:t>الكفالة الجزائية دراسة مقارنة بين قانون الأصول المحاكمات الجزائية العراقي والأردني.</w:t>
      </w:r>
    </w:p>
    <w:p w14:paraId="6CDFCD71" w14:textId="77777777" w:rsidR="00336B95" w:rsidRDefault="00336B95" w:rsidP="00336B95">
      <w:pPr>
        <w:pStyle w:val="ListParagraph"/>
        <w:tabs>
          <w:tab w:val="left" w:pos="397"/>
          <w:tab w:val="center" w:pos="3543"/>
        </w:tabs>
        <w:bidi/>
        <w:spacing w:after="0" w:line="240" w:lineRule="auto"/>
        <w:ind w:left="418"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</w:p>
    <w:p w14:paraId="73F109E2" w14:textId="77777777" w:rsidR="00115514" w:rsidRPr="00461B32" w:rsidRDefault="00115514" w:rsidP="00156754">
      <w:pPr>
        <w:numPr>
          <w:ilvl w:val="0"/>
          <w:numId w:val="4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Cs/>
          <w:sz w:val="36"/>
          <w:szCs w:val="36"/>
          <w:u w:val="single"/>
          <w:rtl/>
        </w:rPr>
        <w:t xml:space="preserve">البحوث المنشورة في </w:t>
      </w:r>
      <w:r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>الشبكة العنكبوتية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:</w:t>
      </w:r>
    </w:p>
    <w:p w14:paraId="01151213" w14:textId="77777777" w:rsidR="00115514" w:rsidRPr="00461B32" w:rsidRDefault="00115514" w:rsidP="00115514">
      <w:pPr>
        <w:numPr>
          <w:ilvl w:val="3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إشكالية تعريف الإرهاب.</w:t>
      </w:r>
    </w:p>
    <w:p w14:paraId="206316D4" w14:textId="77777777" w:rsidR="00156754" w:rsidRPr="00461B32" w:rsidRDefault="00115514" w:rsidP="00156754">
      <w:pPr>
        <w:numPr>
          <w:ilvl w:val="3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الجهود الدولية لتعريف الإرهاب. </w:t>
      </w:r>
    </w:p>
    <w:p w14:paraId="146F9823" w14:textId="77777777" w:rsidR="00156754" w:rsidRPr="00461B32" w:rsidRDefault="00115514" w:rsidP="00156754">
      <w:pPr>
        <w:numPr>
          <w:ilvl w:val="3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دور مجلس الأمن في حل المنازعات الدولية سلمياً: دراسة في القانون الدولي العام.</w:t>
      </w:r>
    </w:p>
    <w:p w14:paraId="182C42E2" w14:textId="77777777" w:rsidR="00115514" w:rsidRDefault="00115514" w:rsidP="00156754">
      <w:pPr>
        <w:numPr>
          <w:ilvl w:val="3"/>
          <w:numId w:val="6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عوائق الزواج وعلاجها: دراسة حالة عن واقع مدينة دهوك لعامي (2000م، 2007م). </w:t>
      </w:r>
    </w:p>
    <w:p w14:paraId="750E90DB" w14:textId="77777777" w:rsidR="000275AA" w:rsidRPr="00461B32" w:rsidRDefault="000275AA" w:rsidP="000275AA">
      <w:p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</w:p>
    <w:p w14:paraId="4AD82552" w14:textId="77777777" w:rsidR="00115514" w:rsidRPr="00461B32" w:rsidRDefault="00461B32" w:rsidP="00461B32">
      <w:pPr>
        <w:numPr>
          <w:ilvl w:val="0"/>
          <w:numId w:val="4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Cs/>
          <w:sz w:val="36"/>
          <w:szCs w:val="36"/>
          <w:u w:val="single"/>
        </w:rPr>
      </w:pPr>
      <w:r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>المؤتمرات التي شارك فيها</w:t>
      </w:r>
      <w:r w:rsidR="00115514" w:rsidRPr="00461B32"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>:</w:t>
      </w:r>
    </w:p>
    <w:p w14:paraId="611C917B" w14:textId="77777777" w:rsidR="00115514" w:rsidRDefault="00115514" w:rsidP="00115514">
      <w:pPr>
        <w:numPr>
          <w:ilvl w:val="0"/>
          <w:numId w:val="5"/>
        </w:numPr>
        <w:tabs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شارك في مؤتمر جامعة حلبجة الدولي المنعقد في مدينة حلبجة بتاريخ 2/5/2019 من قبل كلية العلوم الإنسانية ببحث تحت عنوان (خصوصيات المتهم الحدث خلال مرحلة التحقيق في القانون العراقي واللبناني: دراسة مقارنة). </w:t>
      </w:r>
    </w:p>
    <w:p w14:paraId="2005FB98" w14:textId="77777777" w:rsidR="000275AA" w:rsidRPr="00461B32" w:rsidRDefault="000275AA" w:rsidP="000275AA">
      <w:pPr>
        <w:tabs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</w:p>
    <w:p w14:paraId="2091BCE1" w14:textId="77777777" w:rsidR="00115514" w:rsidRPr="00461B32" w:rsidRDefault="00115514" w:rsidP="00115514">
      <w:pPr>
        <w:numPr>
          <w:ilvl w:val="0"/>
          <w:numId w:val="4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Cs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Cs/>
          <w:sz w:val="36"/>
          <w:szCs w:val="36"/>
          <w:u w:val="single"/>
          <w:rtl/>
        </w:rPr>
        <w:t>من نشاطاته في مجال الأحداث</w:t>
      </w:r>
      <w:r w:rsidRPr="00461B32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>:</w:t>
      </w:r>
    </w:p>
    <w:p w14:paraId="1207C23B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شارك كممثل عن رئاسة محكمة أحداث دهوك في وضع مسودة النظام الداخلي للمنظمات والمراكز التي تتعامل مع الأطفال على مستوى إقليم كوردستان المنعقد في دهوك للفترة (15-17/12/2009).</w:t>
      </w:r>
    </w:p>
    <w:p w14:paraId="4EB317A4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في شهر آب عام 2006م شارك في دورة حول كيفية التعامل مع الأطفال ال</w:t>
      </w:r>
      <w:r w:rsidR="007F74D6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متهمين والمحكومين في دولة لبنان</w:t>
      </w:r>
      <w:r w:rsidR="007F74D6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لمدة اسبوع.</w:t>
      </w:r>
    </w:p>
    <w:p w14:paraId="479ECFFC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بتاريخ 19،20،21/10/2009 شارك في وورك شوب نظّمه مركز هفال لحماية وإعداد الأحداث، وذلك لغرض تقوية علاقات المركز المذكور مع محكمة وشرطة الأحداث لزيادة خدمة الأحداث المشردين والمتهمين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والمحكومين.</w:t>
      </w:r>
    </w:p>
    <w:p w14:paraId="329DD57B" w14:textId="77777777" w:rsidR="00115514" w:rsidRPr="00461B32" w:rsidRDefault="00115514" w:rsidP="000E2CD8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lastRenderedPageBreak/>
        <w:t>للفترة (22/5/2016 ولغاية 23/5/2016) شارك</w:t>
      </w:r>
      <w:r w:rsid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كمدرب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في </w:t>
      </w:r>
      <w:r w:rsid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ورشة عمل بخصوص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"عدالة الأحداث" التي نظّمتها مديرية إصلاح الأحداث والنساء في دهوك وبتعاون مع منظمة يونيسيف. </w:t>
      </w:r>
    </w:p>
    <w:p w14:paraId="6C13AED7" w14:textId="77777777" w:rsidR="000E2CD8" w:rsidRDefault="00115514" w:rsidP="000E2CD8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للفترة (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18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11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2018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ولغاية 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21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11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2018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) شارك في دورة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تدريبية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تحت عنوان "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العنف على أساس الجنس وإجراءات العدالة الصديقة للأطفال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" التي 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أقامتها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 xml:space="preserve"> منظمة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(</w:t>
      </w:r>
      <w:proofErr w:type="spellStart"/>
      <w:r w:rsidRPr="00461B32">
        <w:rPr>
          <w:rFonts w:ascii="Traditional Arabic" w:eastAsia="Times New Roman" w:hAnsi="Traditional Arabic" w:cs="Traditional Arabic"/>
          <w:bCs/>
          <w:sz w:val="36"/>
          <w:szCs w:val="36"/>
        </w:rPr>
        <w:t>Tsamomta</w:t>
      </w:r>
      <w:proofErr w:type="spellEnd"/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)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وبتعاون مع منظمة يونيسيف 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في مدينة أربيل عاصمة إقليم كوردستان.</w:t>
      </w:r>
    </w:p>
    <w:p w14:paraId="4A27622B" w14:textId="77777777" w:rsidR="000E2CD8" w:rsidRDefault="000E2CD8" w:rsidP="000E2CD8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0E2CD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للفترة (</w:t>
      </w:r>
      <w:r w:rsidRP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26</w:t>
      </w:r>
      <w:r w:rsidRPr="000E2CD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 w:rsidRP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6</w:t>
      </w:r>
      <w:r w:rsidRPr="000E2CD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 w:rsidRP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2022</w:t>
      </w:r>
      <w:r w:rsidRPr="000E2CD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ولغاية </w:t>
      </w:r>
      <w:r w:rsidRP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27</w:t>
      </w:r>
      <w:r w:rsidRPr="000E2CD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 w:rsidRP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6</w:t>
      </w:r>
      <w:r w:rsidRPr="000E2CD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 w:rsidRP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2022</w:t>
      </w:r>
      <w:r w:rsidRPr="000E2CD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) شارك</w:t>
      </w:r>
      <w:r w:rsidRP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كمدرب</w:t>
      </w:r>
      <w:r w:rsidRPr="000E2CD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في </w:t>
      </w:r>
      <w:r w:rsidRP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ورشة عمل بخصوص</w:t>
      </w:r>
      <w:r w:rsidRPr="000E2CD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"عدالة الأحداث"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في مدينة دهوك</w:t>
      </w:r>
      <w:r w:rsidRP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،</w:t>
      </w:r>
      <w:r w:rsidRPr="000E2CD8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ضمن مشروع منظمة هاريكار" تعزيز نظام وخدمات عدالة الاطفال في إقليم كوردستان العراق" بتنسيق ودعم من منظمة يونيسف</w:t>
      </w:r>
      <w:r w:rsidRPr="000E2CD8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.</w:t>
      </w:r>
    </w:p>
    <w:p w14:paraId="63EDF365" w14:textId="77777777" w:rsidR="000E2CD8" w:rsidRDefault="000E2CD8" w:rsidP="00DE15E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بتاريخ</w:t>
      </w:r>
      <w:r w:rsidR="000B4124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6/4/2022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ولغرض نشر الثقافة القانونية حول حقوق وأحكام الأطفال في القوانين العراقية، ق</w:t>
      </w:r>
      <w:r w:rsidR="00DE15E4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ا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م بتو</w:t>
      </w:r>
      <w:r w:rsidR="00DE15E4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زيع (300) ثلاثمائة نسخة من كتابه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بعنوان (أحكام الحضانة في قانون الأحوال الشخصية العراقي: دراسة مقارنة) على طلاب كلية القانون بجامعة دهوك، تبرعاً دون مقابل. </w:t>
      </w:r>
    </w:p>
    <w:p w14:paraId="3A9F597C" w14:textId="77777777" w:rsidR="007F74D6" w:rsidRDefault="00FD3C96" w:rsidP="00FD3C96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بتاريخ 12/9/2022 شارك في طاولة مستديرة ن</w:t>
      </w:r>
      <w:r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ض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ّ</w:t>
      </w:r>
      <w:r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م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ها</w:t>
      </w:r>
      <w:r w:rsidRPr="00FD3C96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منظمة هاريكار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ضمن مشروع </w:t>
      </w:r>
      <w:r w:rsidRPr="00FD3C96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"تعزيز نظام وخدمات عدالة ال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أ</w:t>
      </w:r>
      <w:r w:rsidRPr="00FD3C96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طفال في إقليم كوردستان العراق" بتنسيق ودعم من منظمة يونيسف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للأسرة القضائية في محافظة دهوك المؤلفة من السادة القضاة، والمدعين العامين، والمحامين.</w:t>
      </w:r>
    </w:p>
    <w:p w14:paraId="3811391A" w14:textId="77777777" w:rsidR="002629E2" w:rsidRPr="00944FCF" w:rsidRDefault="002629E2" w:rsidP="002629E2">
      <w:pPr>
        <w:numPr>
          <w:ilvl w:val="0"/>
          <w:numId w:val="2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بتاريخ (30/10/2022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 xml:space="preserve"> لغاية 1/11/2022)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شارك في ورشة عمل حول (تشخيص وتقييم نظام عدالة الأحداث في إقليم كوردستان) التي أقامتها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 xml:space="preserve"> 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منظمة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(</w:t>
      </w:r>
      <w:r>
        <w:rPr>
          <w:rFonts w:ascii="Traditional Arabic" w:eastAsia="Times New Roman" w:hAnsi="Traditional Arabic" w:cs="Traditional Arabic"/>
          <w:b/>
          <w:sz w:val="36"/>
          <w:szCs w:val="36"/>
        </w:rPr>
        <w:t>KFW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)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 xml:space="preserve"> وبتمويل من دولة ألمانيا وبتنسيق من منظمة 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يونيسيف في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فندق شيراتون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ب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مدينة أربيل عاصمة إقليم كوردستان.</w:t>
      </w:r>
    </w:p>
    <w:p w14:paraId="57B0689C" w14:textId="77777777" w:rsidR="002629E2" w:rsidRDefault="004F2B5A" w:rsidP="004F2B5A">
      <w:pPr>
        <w:numPr>
          <w:ilvl w:val="0"/>
          <w:numId w:val="9"/>
        </w:numPr>
        <w:tabs>
          <w:tab w:val="clear" w:pos="720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18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F2B5A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بتاريخ (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19</w:t>
      </w:r>
      <w:r w:rsidRPr="004F2B5A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/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12</w:t>
      </w:r>
      <w:r w:rsidRPr="004F2B5A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/2022</w:t>
      </w:r>
      <w:r w:rsidRPr="004F2B5A"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>)</w:t>
      </w:r>
      <w:r w:rsidRPr="004F2B5A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شارك في 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المؤتمر الختامي</w:t>
      </w:r>
      <w:r w:rsidRPr="004F2B5A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حول</w:t>
      </w:r>
      <w:r w:rsidR="00FB280B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</w:t>
      </w:r>
      <w:r w:rsidRPr="004F2B5A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"تعزيز نظام وخدمات عدالة الأطفال في إقليم كوردستان العراق" 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الذي</w:t>
      </w:r>
      <w:r w:rsidRPr="004F2B5A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</w:t>
      </w:r>
      <w:r w:rsidRPr="004F2B5A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نضّمه منظمة هاريكار بتنسيق ودعم من منظمة يونيسف</w:t>
      </w:r>
      <w:r w:rsidRPr="004F2B5A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في مدينة أربيل عاصمة إقليم كوردستان.</w:t>
      </w:r>
    </w:p>
    <w:p w14:paraId="377B98AB" w14:textId="748900D2" w:rsidR="000275AA" w:rsidRDefault="00FD3C96" w:rsidP="002629E2">
      <w:pPr>
        <w:numPr>
          <w:ilvl w:val="0"/>
          <w:numId w:val="9"/>
        </w:numPr>
        <w:tabs>
          <w:tab w:val="clear" w:pos="720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18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F2B5A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lastRenderedPageBreak/>
        <w:t xml:space="preserve">  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بتاريخ (</w:t>
      </w:r>
      <w:r w:rsidR="002629E2" w:rsidRPr="002629E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 w:rsidR="002629E2" w:rsidRPr="002629E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 w:rsidR="002629E2" w:rsidRPr="002629E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2023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>)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شارك في المؤتمر الختامي حول</w:t>
      </w:r>
      <w:r w:rsidR="002629E2" w:rsidRPr="002629E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(تشخيص وتقييم نظام عدالة الأحداث في إقليم كوردستان) التي أقامتها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 xml:space="preserve"> 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منظمة</w:t>
      </w:r>
      <w:r w:rsidR="002629E2" w:rsidRPr="002629E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(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</w:rPr>
        <w:t>KFW</w:t>
      </w:r>
      <w:r w:rsidR="002629E2" w:rsidRPr="002629E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)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</w:t>
      </w:r>
      <w:r w:rsidR="002629E2" w:rsidRPr="002629E2"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 xml:space="preserve"> وبتمويل من دولة ألمانيا وبتنسيق من منظمة 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يونيسيف في</w:t>
      </w:r>
      <w:r w:rsidR="002629E2" w:rsidRPr="002629E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فندق شيراتون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</w:t>
      </w:r>
      <w:r w:rsidR="002629E2" w:rsidRPr="002629E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ب</w:t>
      </w:r>
      <w:r w:rsidR="002629E2" w:rsidRPr="002629E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مدينة أربيل عاصمة إقليم كوردستان.</w:t>
      </w:r>
    </w:p>
    <w:p w14:paraId="2265AD41" w14:textId="29034AFA" w:rsidR="0021109E" w:rsidRDefault="0021109E" w:rsidP="0021109E">
      <w:pPr>
        <w:numPr>
          <w:ilvl w:val="0"/>
          <w:numId w:val="2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بتاريخ (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25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5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2023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 xml:space="preserve"> لغاية 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>27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>/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>5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>/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>2023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>)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شارك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كمحاضر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في ورشة عمل حول (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قضاء الأحداث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) التي أقامتها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>(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المعهد القضائي في أربيل)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بتنسيق 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 xml:space="preserve">وبتمويل من منظمة 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يونيسيف في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فندق فان ريال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ب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مدينة أربيل عاصمة إقليم كوردستان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لغرض تنمية قدرات السادة القضاة والمدعين العامين الجديد خريجي الدفعة الرابعة للمعهد المذكور</w:t>
      </w:r>
      <w:r w:rsidRPr="00944FCF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.</w:t>
      </w:r>
    </w:p>
    <w:p w14:paraId="7E6020E6" w14:textId="08AA166D" w:rsidR="008B293E" w:rsidRPr="008B293E" w:rsidRDefault="008B293E" w:rsidP="008B293E">
      <w:pPr>
        <w:numPr>
          <w:ilvl w:val="0"/>
          <w:numId w:val="2"/>
        </w:numPr>
        <w:tabs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8B293E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بتاريخ (</w:t>
      </w:r>
      <w:r w:rsidRPr="008B293E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>15</w:t>
      </w:r>
      <w:r w:rsidRPr="008B293E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/7/2023</w:t>
      </w:r>
      <w:r w:rsidRPr="008B293E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>)</w:t>
      </w:r>
      <w:r w:rsidRPr="008B293E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شارك كمحاضر في المؤتمر الخاص حول (مشروع قانون رعاية الأحداث) المعدّ من قبل وزارة العدل العراقية الذي نظّمه</w:t>
      </w:r>
      <w:r w:rsidRPr="008B293E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 xml:space="preserve"> (</w:t>
      </w:r>
      <w:r w:rsidRPr="008B293E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منظمة المحقق لسيادة القانون) بتنسيق </w:t>
      </w:r>
      <w:r w:rsidRPr="008B293E">
        <w:rPr>
          <w:rFonts w:ascii="Traditional Arabic" w:eastAsia="Times New Roman" w:hAnsi="Traditional Arabic" w:cs="Traditional Arabic"/>
          <w:b/>
          <w:sz w:val="36"/>
          <w:szCs w:val="36"/>
          <w:rtl/>
          <w:lang w:bidi="ar-IQ"/>
        </w:rPr>
        <w:t>وبتمويل من الاتحاد الأوروبي</w:t>
      </w:r>
      <w:r w:rsidRPr="008B293E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في فندق (بابل روتانا) بمدينة بغداد العاصمة.</w:t>
      </w:r>
    </w:p>
    <w:p w14:paraId="46F16DED" w14:textId="77777777" w:rsidR="0021109E" w:rsidRPr="002629E2" w:rsidRDefault="0021109E" w:rsidP="0021109E">
      <w:pPr>
        <w:tabs>
          <w:tab w:val="left" w:pos="7119"/>
        </w:tabs>
        <w:autoSpaceDE w:val="0"/>
        <w:autoSpaceDN w:val="0"/>
        <w:bidi/>
        <w:adjustRightInd w:val="0"/>
        <w:spacing w:after="0" w:line="240" w:lineRule="auto"/>
        <w:ind w:left="418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</w:p>
    <w:p w14:paraId="43C89A08" w14:textId="77777777" w:rsidR="00115514" w:rsidRPr="00461B32" w:rsidRDefault="000E2CD8" w:rsidP="00115514">
      <w:pPr>
        <w:numPr>
          <w:ilvl w:val="0"/>
          <w:numId w:val="4"/>
        </w:numPr>
        <w:tabs>
          <w:tab w:val="num" w:pos="283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hanging="721"/>
        <w:contextualSpacing/>
        <w:jc w:val="both"/>
        <w:rPr>
          <w:rFonts w:ascii="Traditional Arabic" w:eastAsia="Times New Roman" w:hAnsi="Traditional Arabic" w:cs="Traditional Arabic"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Cs/>
          <w:sz w:val="36"/>
          <w:szCs w:val="36"/>
          <w:u w:val="single"/>
          <w:rtl/>
        </w:rPr>
        <w:t>ن</w:t>
      </w:r>
      <w:r w:rsidR="00115514" w:rsidRPr="00461B32">
        <w:rPr>
          <w:rFonts w:ascii="Traditional Arabic" w:eastAsia="Times New Roman" w:hAnsi="Traditional Arabic" w:cs="Traditional Arabic"/>
          <w:bCs/>
          <w:sz w:val="36"/>
          <w:szCs w:val="36"/>
          <w:u w:val="single"/>
          <w:rtl/>
        </w:rPr>
        <w:t>شاطات أخرى</w:t>
      </w:r>
      <w:r w:rsidR="00115514" w:rsidRPr="00461B32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>:</w:t>
      </w:r>
    </w:p>
    <w:p w14:paraId="01C9FFB9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قدم برنامج إذاعي مع زميل آخر بعنوان (الحق والقانون) لمدة ثمانية أشهر في إحدى الاذاعات المحلية.</w:t>
      </w:r>
    </w:p>
    <w:p w14:paraId="3D641561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بتاريخ 3/12/2008 قام بالإشراف على إنتخابات اللجنة البارالمبية الكوردستانية فرع دهوك.</w:t>
      </w:r>
    </w:p>
    <w:p w14:paraId="4394F46B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بتاريخ 27/4/2010 حصل على شهادة (</w:t>
      </w:r>
      <w:r w:rsidRPr="00461B32">
        <w:rPr>
          <w:rFonts w:ascii="Traditional Arabic" w:eastAsia="Times New Roman" w:hAnsi="Traditional Arabic" w:cs="Traditional Arabic"/>
          <w:bCs/>
          <w:sz w:val="36"/>
          <w:szCs w:val="36"/>
        </w:rPr>
        <w:t>Intermediate Levels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) 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من مركز اللغات الأمريكية (</w:t>
      </w:r>
      <w:r w:rsidRPr="00461B32">
        <w:rPr>
          <w:rFonts w:ascii="Traditional Arabic" w:eastAsia="Times New Roman" w:hAnsi="Traditional Arabic" w:cs="Traditional Arabic"/>
          <w:bCs/>
          <w:sz w:val="36"/>
          <w:szCs w:val="36"/>
        </w:rPr>
        <w:t>ELS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) 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بماليزيا.</w:t>
      </w:r>
    </w:p>
    <w:p w14:paraId="447196F8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في عام 2010 حصل على الدرجة (5) في امتحان اللغة الانكليزية الدولي المسمى بـــ(آيلتس).</w:t>
      </w:r>
    </w:p>
    <w:p w14:paraId="54B989B9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بتاريخ 1/6/2013 شارك في دورة تحت عنوان (منهجية البحث: النظرية والتطبيق) التي نظّمتها الجمعية العالمية 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ل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لشباب في جامعة (</w:t>
      </w:r>
      <w:r w:rsidRPr="00461B32">
        <w:rPr>
          <w:rFonts w:ascii="Traditional Arabic" w:eastAsia="Times New Roman" w:hAnsi="Traditional Arabic" w:cs="Traditional Arabic"/>
          <w:bCs/>
          <w:sz w:val="36"/>
          <w:szCs w:val="36"/>
        </w:rPr>
        <w:t>IIUM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) 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بماليزيا.</w:t>
      </w:r>
    </w:p>
    <w:p w14:paraId="6CE5720B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num" w:pos="424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للفترة (12/12/2015 ولغاية 20/2/2016) شارك في دورة طرق التدريس التي نظّمتها جامعة نوروز، وتخرج منها بنجاح. </w:t>
      </w:r>
    </w:p>
    <w:p w14:paraId="39550928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lastRenderedPageBreak/>
        <w:t>للفترة (27/1/2008 ولغاية 31/1/2008) شارك</w:t>
      </w:r>
      <w:r w:rsidR="00DE15E4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في دورة تحت عنوان "القيادة وال</w:t>
      </w:r>
      <w:r w:rsidR="00DE15E4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ا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تصال" التي نظّمتها وزارة التخطيط لإقليم كوردستان.</w:t>
      </w:r>
    </w:p>
    <w:p w14:paraId="0E4D126F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للفترة (9/9/2007 ولغاية 12/9/2007) شارك في دورة تحت عنوان "حل النزاعات للنشطاء المدنيين" التي نظّمتها المعهد الديمقراطي الوطني للشؤون الدولية.</w:t>
      </w:r>
    </w:p>
    <w:p w14:paraId="3DC8EA11" w14:textId="77777777" w:rsidR="00115514" w:rsidRPr="00461B32" w:rsidRDefault="00115514" w:rsidP="0011551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rtl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للفترة (27/7/1996 ولغاية 11/8/1996) شارك في دورة تحت عنوان "دورة العلوم الشرعية الخامسة" التي نظّمتها كلية الشريعة في جامعة دهوك.</w:t>
      </w:r>
    </w:p>
    <w:p w14:paraId="5FC85B6D" w14:textId="77777777" w:rsidR="0071074F" w:rsidRPr="00461B32" w:rsidRDefault="00115514" w:rsidP="0071074F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للفترة (6/8/2006 ولغاية 7/9/2006) شارك في دورة المحققين العدليين التي نظّمتها محكمة جنايات دهوك وتخرج منها بتفوق.</w:t>
      </w:r>
    </w:p>
    <w:p w14:paraId="246848DB" w14:textId="77777777" w:rsidR="00336B95" w:rsidRPr="00461B32" w:rsidRDefault="00DE15E4" w:rsidP="00DE15E4">
      <w:pPr>
        <w:numPr>
          <w:ilvl w:val="0"/>
          <w:numId w:val="9"/>
        </w:numPr>
        <w:tabs>
          <w:tab w:val="clear" w:pos="720"/>
          <w:tab w:val="left" w:pos="819"/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بتاريخ 2/2/2022 تم منح مدونته</w:t>
      </w:r>
      <w:r w:rsidR="00336B95"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التي هي باسم (مدونة أكرم زاده الكوردي) والتي </w:t>
      </w:r>
      <w:r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ينشر فيها بحوثه وكتاباته</w:t>
      </w:r>
      <w:r w:rsidR="00336B95"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ضمن موقع (منصة أريد الأكاديمية) </w:t>
      </w:r>
      <w:r w:rsidR="0071074F"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"</w:t>
      </w:r>
      <w:r w:rsidR="00336B95"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وسام الصفحة المتميزة للعام 2022</w:t>
      </w:r>
      <w:r w:rsidR="0071074F"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". علماً،</w:t>
      </w:r>
      <w:r w:rsidR="00336B95"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</w:t>
      </w:r>
      <w:r w:rsidR="0071074F"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يمنح</w:t>
      </w:r>
      <w:r w:rsidR="0071074F"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هذا الوسام</w:t>
      </w:r>
      <w:r w:rsidR="0071074F"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لأفضل أعضاء</w:t>
      </w:r>
      <w:r w:rsidR="0071074F"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المنصة</w:t>
      </w:r>
      <w:r w:rsidR="0071074F"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من حيث التحديث، والتطوير المستمر لصفحاتهم الشخصية، ومن حيث أعداد الزوار، والتفاعل، واقتباس الأبحاث، وتنزيلها من صفحاتهم الشخصية</w:t>
      </w:r>
      <w:r w:rsidR="0071074F"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. </w:t>
      </w:r>
      <w:r w:rsidR="00336B95"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 xml:space="preserve"> </w:t>
      </w:r>
    </w:p>
    <w:p w14:paraId="4FBFAE62" w14:textId="77777777" w:rsidR="00115514" w:rsidRPr="00461B32" w:rsidRDefault="00115514" w:rsidP="00115514">
      <w:pPr>
        <w:numPr>
          <w:ilvl w:val="0"/>
          <w:numId w:val="3"/>
        </w:numPr>
        <w:tabs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lang w:bidi="ar-IQ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>لغرض التواصل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</w:rPr>
        <w:t>:</w:t>
      </w: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 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>موبايل</w:t>
      </w:r>
      <w:r w:rsidR="00DE15E4"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>، فايبر، واتساب</w:t>
      </w:r>
      <w:r w:rsidRPr="00461B32"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bidi="ar-IQ"/>
        </w:rPr>
        <w:t xml:space="preserve">: 9647512129793+ </w:t>
      </w:r>
    </w:p>
    <w:p w14:paraId="0791C19E" w14:textId="77777777" w:rsidR="00115514" w:rsidRPr="00461B32" w:rsidRDefault="00115514" w:rsidP="00115514">
      <w:pPr>
        <w:numPr>
          <w:ilvl w:val="0"/>
          <w:numId w:val="3"/>
        </w:numPr>
        <w:tabs>
          <w:tab w:val="left" w:pos="7119"/>
        </w:tabs>
        <w:autoSpaceDE w:val="0"/>
        <w:autoSpaceDN w:val="0"/>
        <w:bidi/>
        <w:adjustRightInd w:val="0"/>
        <w:spacing w:after="0" w:line="240" w:lineRule="auto"/>
        <w:ind w:left="424"/>
        <w:contextualSpacing/>
        <w:jc w:val="both"/>
        <w:rPr>
          <w:rFonts w:ascii="Traditional Arabic" w:eastAsia="Times New Roman" w:hAnsi="Traditional Arabic" w:cs="Traditional Arabic"/>
          <w:b/>
          <w:sz w:val="36"/>
          <w:szCs w:val="36"/>
          <w:lang w:bidi="ar-IQ"/>
        </w:rPr>
      </w:pPr>
      <w:r w:rsidRPr="00461B32">
        <w:rPr>
          <w:rFonts w:ascii="Traditional Arabic" w:eastAsia="Times New Roman" w:hAnsi="Traditional Arabic" w:cs="Traditional Arabic"/>
          <w:b/>
          <w:sz w:val="36"/>
          <w:szCs w:val="36"/>
          <w:rtl/>
        </w:rPr>
        <w:t xml:space="preserve">البريد الالكتروني: </w:t>
      </w:r>
      <w:hyperlink r:id="rId7" w:history="1">
        <w:r w:rsidRPr="00461B32">
          <w:rPr>
            <w:rFonts w:ascii="Traditional Arabic" w:eastAsia="Times New Roman" w:hAnsi="Traditional Arabic" w:cs="Traditional Arabic"/>
            <w:b/>
            <w:color w:val="0000FF" w:themeColor="hyperlink"/>
            <w:sz w:val="36"/>
            <w:szCs w:val="36"/>
            <w:u w:val="single"/>
          </w:rPr>
          <w:t>ahdas2014@yahoo.co</w:t>
        </w:r>
      </w:hyperlink>
    </w:p>
    <w:p w14:paraId="7DBD7FF8" w14:textId="77777777" w:rsidR="004E6262" w:rsidRDefault="004E6262" w:rsidP="00DA390C">
      <w:pPr>
        <w:bidi/>
        <w:jc w:val="both"/>
      </w:pPr>
    </w:p>
    <w:sectPr w:rsidR="004E6262" w:rsidSect="00336B95">
      <w:footerReference w:type="default" r:id="rId8"/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9EFD" w14:textId="77777777" w:rsidR="00F41718" w:rsidRDefault="00F41718" w:rsidP="004621DC">
      <w:pPr>
        <w:spacing w:after="0" w:line="240" w:lineRule="auto"/>
      </w:pPr>
      <w:r>
        <w:separator/>
      </w:r>
    </w:p>
  </w:endnote>
  <w:endnote w:type="continuationSeparator" w:id="0">
    <w:p w14:paraId="4E8380BF" w14:textId="77777777" w:rsidR="00F41718" w:rsidRDefault="00F41718" w:rsidP="0046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SKR HEAD1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497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C5994" w14:textId="77777777" w:rsidR="004621DC" w:rsidRDefault="00462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8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D955675" w14:textId="77777777" w:rsidR="004621DC" w:rsidRDefault="0046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D1F4" w14:textId="77777777" w:rsidR="00F41718" w:rsidRDefault="00F41718" w:rsidP="004621DC">
      <w:pPr>
        <w:spacing w:after="0" w:line="240" w:lineRule="auto"/>
      </w:pPr>
      <w:r>
        <w:separator/>
      </w:r>
    </w:p>
  </w:footnote>
  <w:footnote w:type="continuationSeparator" w:id="0">
    <w:p w14:paraId="35ED3ED9" w14:textId="77777777" w:rsidR="00F41718" w:rsidRDefault="00F41718" w:rsidP="0046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BD7"/>
    <w:multiLevelType w:val="hybridMultilevel"/>
    <w:tmpl w:val="D274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4A9"/>
    <w:multiLevelType w:val="hybridMultilevel"/>
    <w:tmpl w:val="0FEE6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331AF"/>
    <w:multiLevelType w:val="hybridMultilevel"/>
    <w:tmpl w:val="907C6B28"/>
    <w:lvl w:ilvl="0" w:tplc="8196C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41957"/>
    <w:multiLevelType w:val="hybridMultilevel"/>
    <w:tmpl w:val="B1663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2665A9"/>
    <w:multiLevelType w:val="hybridMultilevel"/>
    <w:tmpl w:val="4FBC3A96"/>
    <w:lvl w:ilvl="0" w:tplc="9D3EFA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7222F"/>
    <w:multiLevelType w:val="hybridMultilevel"/>
    <w:tmpl w:val="F5B240D4"/>
    <w:lvl w:ilvl="0" w:tplc="41DCEC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04F5"/>
    <w:multiLevelType w:val="hybridMultilevel"/>
    <w:tmpl w:val="907C6B28"/>
    <w:lvl w:ilvl="0" w:tplc="8196C63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A07C1"/>
    <w:multiLevelType w:val="hybridMultilevel"/>
    <w:tmpl w:val="F5B240D4"/>
    <w:lvl w:ilvl="0" w:tplc="41DCEC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471E8"/>
    <w:multiLevelType w:val="hybridMultilevel"/>
    <w:tmpl w:val="1CB24D92"/>
    <w:lvl w:ilvl="0" w:tplc="8556963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5F406BE7"/>
    <w:multiLevelType w:val="hybridMultilevel"/>
    <w:tmpl w:val="4C8C0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60140"/>
    <w:multiLevelType w:val="hybridMultilevel"/>
    <w:tmpl w:val="400A54C0"/>
    <w:lvl w:ilvl="0" w:tplc="41DCEC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5363C"/>
    <w:multiLevelType w:val="hybridMultilevel"/>
    <w:tmpl w:val="F1B2D4F6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71687964"/>
    <w:multiLevelType w:val="hybridMultilevel"/>
    <w:tmpl w:val="8A30B490"/>
    <w:lvl w:ilvl="0" w:tplc="64B61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3163D3"/>
    <w:multiLevelType w:val="hybridMultilevel"/>
    <w:tmpl w:val="F5B240D4"/>
    <w:lvl w:ilvl="0" w:tplc="41DCEC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A7F80"/>
    <w:multiLevelType w:val="hybridMultilevel"/>
    <w:tmpl w:val="6990359A"/>
    <w:lvl w:ilvl="0" w:tplc="41DCEC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5"/>
  </w:num>
  <w:num w:numId="15">
    <w:abstractNumId w:val="7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0C"/>
    <w:rsid w:val="0000423A"/>
    <w:rsid w:val="000275AA"/>
    <w:rsid w:val="000526D5"/>
    <w:rsid w:val="00053FA9"/>
    <w:rsid w:val="00063593"/>
    <w:rsid w:val="000A0F2A"/>
    <w:rsid w:val="000B05C1"/>
    <w:rsid w:val="000B4124"/>
    <w:rsid w:val="000C7C4F"/>
    <w:rsid w:val="000D7661"/>
    <w:rsid w:val="000E2CD8"/>
    <w:rsid w:val="00104E83"/>
    <w:rsid w:val="00115514"/>
    <w:rsid w:val="00146D48"/>
    <w:rsid w:val="00156754"/>
    <w:rsid w:val="001842E6"/>
    <w:rsid w:val="00191AE8"/>
    <w:rsid w:val="001F7B71"/>
    <w:rsid w:val="0020071D"/>
    <w:rsid w:val="00203377"/>
    <w:rsid w:val="0021109E"/>
    <w:rsid w:val="00213FB9"/>
    <w:rsid w:val="002323B2"/>
    <w:rsid w:val="002629E2"/>
    <w:rsid w:val="00284575"/>
    <w:rsid w:val="0029513F"/>
    <w:rsid w:val="002A5C39"/>
    <w:rsid w:val="002B4474"/>
    <w:rsid w:val="00336B95"/>
    <w:rsid w:val="00342DC0"/>
    <w:rsid w:val="00353783"/>
    <w:rsid w:val="00367BF8"/>
    <w:rsid w:val="003930D3"/>
    <w:rsid w:val="003A4FE1"/>
    <w:rsid w:val="003B2754"/>
    <w:rsid w:val="003F7240"/>
    <w:rsid w:val="00461B32"/>
    <w:rsid w:val="004621DC"/>
    <w:rsid w:val="00481FA3"/>
    <w:rsid w:val="00492BFD"/>
    <w:rsid w:val="004B28B0"/>
    <w:rsid w:val="004D23C9"/>
    <w:rsid w:val="004E6262"/>
    <w:rsid w:val="004F2B5A"/>
    <w:rsid w:val="00521203"/>
    <w:rsid w:val="00530A33"/>
    <w:rsid w:val="00530CF7"/>
    <w:rsid w:val="005315B3"/>
    <w:rsid w:val="00547E75"/>
    <w:rsid w:val="00552771"/>
    <w:rsid w:val="00556DBD"/>
    <w:rsid w:val="00560126"/>
    <w:rsid w:val="00583976"/>
    <w:rsid w:val="005B1397"/>
    <w:rsid w:val="005B7AC4"/>
    <w:rsid w:val="005C2FBA"/>
    <w:rsid w:val="005E21E6"/>
    <w:rsid w:val="005E7113"/>
    <w:rsid w:val="00615DA0"/>
    <w:rsid w:val="0063025E"/>
    <w:rsid w:val="00632D21"/>
    <w:rsid w:val="006344AA"/>
    <w:rsid w:val="00643C12"/>
    <w:rsid w:val="00665589"/>
    <w:rsid w:val="00690A5B"/>
    <w:rsid w:val="006D042E"/>
    <w:rsid w:val="006D3107"/>
    <w:rsid w:val="006E51A8"/>
    <w:rsid w:val="006F1B65"/>
    <w:rsid w:val="0071074F"/>
    <w:rsid w:val="00711B59"/>
    <w:rsid w:val="00745A90"/>
    <w:rsid w:val="007528C4"/>
    <w:rsid w:val="00764119"/>
    <w:rsid w:val="00772397"/>
    <w:rsid w:val="00777C6D"/>
    <w:rsid w:val="007969D9"/>
    <w:rsid w:val="007C0E2B"/>
    <w:rsid w:val="007C7DA3"/>
    <w:rsid w:val="007D2F0C"/>
    <w:rsid w:val="007E6656"/>
    <w:rsid w:val="007F74D6"/>
    <w:rsid w:val="00801871"/>
    <w:rsid w:val="008243EE"/>
    <w:rsid w:val="00827086"/>
    <w:rsid w:val="0083081C"/>
    <w:rsid w:val="00847114"/>
    <w:rsid w:val="008555D1"/>
    <w:rsid w:val="00872BE0"/>
    <w:rsid w:val="00894A96"/>
    <w:rsid w:val="008A2327"/>
    <w:rsid w:val="008A2543"/>
    <w:rsid w:val="008A57B2"/>
    <w:rsid w:val="008B293E"/>
    <w:rsid w:val="008D4AA8"/>
    <w:rsid w:val="008D640A"/>
    <w:rsid w:val="008E294A"/>
    <w:rsid w:val="009041F4"/>
    <w:rsid w:val="00915554"/>
    <w:rsid w:val="00943A0E"/>
    <w:rsid w:val="009C1B61"/>
    <w:rsid w:val="009C71E9"/>
    <w:rsid w:val="009E58AE"/>
    <w:rsid w:val="009F0761"/>
    <w:rsid w:val="009F0FB7"/>
    <w:rsid w:val="00A257F4"/>
    <w:rsid w:val="00A32CB5"/>
    <w:rsid w:val="00A348E7"/>
    <w:rsid w:val="00A40BDB"/>
    <w:rsid w:val="00A76AC0"/>
    <w:rsid w:val="00AA6C42"/>
    <w:rsid w:val="00AD3164"/>
    <w:rsid w:val="00AE0B81"/>
    <w:rsid w:val="00AF1C71"/>
    <w:rsid w:val="00B34D6E"/>
    <w:rsid w:val="00B61FA4"/>
    <w:rsid w:val="00B6435E"/>
    <w:rsid w:val="00B8512D"/>
    <w:rsid w:val="00B86343"/>
    <w:rsid w:val="00B967DD"/>
    <w:rsid w:val="00BA4A58"/>
    <w:rsid w:val="00BC395E"/>
    <w:rsid w:val="00C778D5"/>
    <w:rsid w:val="00C86782"/>
    <w:rsid w:val="00C90AB5"/>
    <w:rsid w:val="00C95C31"/>
    <w:rsid w:val="00CA28A4"/>
    <w:rsid w:val="00CA2B49"/>
    <w:rsid w:val="00CA7654"/>
    <w:rsid w:val="00CB7C68"/>
    <w:rsid w:val="00CD1B94"/>
    <w:rsid w:val="00CF2FB2"/>
    <w:rsid w:val="00D06674"/>
    <w:rsid w:val="00D306EC"/>
    <w:rsid w:val="00D441FA"/>
    <w:rsid w:val="00D457A1"/>
    <w:rsid w:val="00D53470"/>
    <w:rsid w:val="00D631BD"/>
    <w:rsid w:val="00D654C3"/>
    <w:rsid w:val="00D82AAA"/>
    <w:rsid w:val="00D85A5A"/>
    <w:rsid w:val="00DA390C"/>
    <w:rsid w:val="00DE15E4"/>
    <w:rsid w:val="00DF0405"/>
    <w:rsid w:val="00DF7CDC"/>
    <w:rsid w:val="00E303A4"/>
    <w:rsid w:val="00E34F4E"/>
    <w:rsid w:val="00E50B1B"/>
    <w:rsid w:val="00E56925"/>
    <w:rsid w:val="00E91B64"/>
    <w:rsid w:val="00EA1968"/>
    <w:rsid w:val="00EC1D99"/>
    <w:rsid w:val="00EC3B66"/>
    <w:rsid w:val="00ED35F1"/>
    <w:rsid w:val="00ED4D6C"/>
    <w:rsid w:val="00EF7415"/>
    <w:rsid w:val="00F00488"/>
    <w:rsid w:val="00F40CF3"/>
    <w:rsid w:val="00F41718"/>
    <w:rsid w:val="00F62646"/>
    <w:rsid w:val="00F7025D"/>
    <w:rsid w:val="00F73C1D"/>
    <w:rsid w:val="00F82604"/>
    <w:rsid w:val="00F832AC"/>
    <w:rsid w:val="00FB23D9"/>
    <w:rsid w:val="00FB280B"/>
    <w:rsid w:val="00FD3C96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4A21"/>
  <w15:docId w15:val="{CD35499D-B3AF-4E13-8E65-6E154D3F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DC"/>
  </w:style>
  <w:style w:type="paragraph" w:styleId="Footer">
    <w:name w:val="footer"/>
    <w:basedOn w:val="Normal"/>
    <w:link w:val="FooterChar"/>
    <w:uiPriority w:val="99"/>
    <w:unhideWhenUsed/>
    <w:rsid w:val="00462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DC"/>
  </w:style>
  <w:style w:type="paragraph" w:styleId="BalloonText">
    <w:name w:val="Balloon Text"/>
    <w:basedOn w:val="Normal"/>
    <w:link w:val="BalloonTextChar"/>
    <w:uiPriority w:val="99"/>
    <w:semiHidden/>
    <w:unhideWhenUsed/>
    <w:rsid w:val="00A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das2014@yahoo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al-kurdi</dc:creator>
  <cp:lastModifiedBy>akram alkurdi</cp:lastModifiedBy>
  <cp:revision>8</cp:revision>
  <cp:lastPrinted>2022-06-12T10:00:00Z</cp:lastPrinted>
  <dcterms:created xsi:type="dcterms:W3CDTF">2023-01-10T09:52:00Z</dcterms:created>
  <dcterms:modified xsi:type="dcterms:W3CDTF">2023-08-01T06:50:00Z</dcterms:modified>
</cp:coreProperties>
</file>