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raditional Arabic" w:cs="Traditional Arabic" w:hAnsi="Traditional Arabic"/>
          <w:b/>
          <w:bCs/>
          <w:color w:val="99cc00"/>
          <w:sz w:val="32"/>
          <w:szCs w:val="32"/>
          <w:rtl/>
          <w:lang w:val="en-US"/>
        </w:rPr>
      </w:pPr>
      <w:r>
        <w:rPr>
          <w:rFonts w:ascii="Traditional Arabic" w:cs="Traditional Arabic" w:hAnsi="Traditional Arabic"/>
          <w:b/>
          <w:bCs/>
          <w:color w:val="99cc00"/>
          <w:sz w:val="32"/>
          <w:szCs w:val="32"/>
          <w:rtl/>
          <w:lang w:val="en-US"/>
        </w:rPr>
        <w:t>بسم الله الرحمن الرحيم</w:t>
      </w:r>
    </w:p>
    <w:p>
      <w:pPr>
        <w:pStyle w:val="style0"/>
        <w:jc w:val="center"/>
        <w:rPr>
          <w:rFonts w:ascii="Traditional Arabic" w:cs="Traditional Arabic" w:hAnsi="Traditional Arabic"/>
          <w:b/>
          <w:bCs/>
          <w:i/>
          <w:iCs/>
          <w:color w:val="0000ff"/>
          <w:sz w:val="32"/>
          <w:szCs w:val="32"/>
          <w:u w:val="single"/>
          <w:rtl/>
          <w:lang w:val="en-US"/>
        </w:rPr>
      </w:pPr>
      <w:r>
        <w:rPr>
          <w:rFonts w:ascii="Traditional Arabic" w:cs="Traditional Arabic" w:hAnsi="Traditional Arabic"/>
          <w:b/>
          <w:bCs/>
          <w:i/>
          <w:iCs/>
          <w:color w:val="0000ff"/>
          <w:sz w:val="32"/>
          <w:szCs w:val="32"/>
          <w:u w:val="single"/>
          <w:rtl/>
          <w:lang w:val="en-US"/>
        </w:rPr>
        <w:t>السيرة الذاتية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الاسم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والنسب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: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المصطفى سليمي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lang w:val="en-US"/>
        </w:rPr>
        <w:t xml:space="preserve">     EL MOSTAFA SALIMI 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تاريخ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الميلاد: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01/11/1970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  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رقم البطاقة الوطنية </w:t>
      </w:r>
      <w:r>
        <w:rPr>
          <w:rFonts w:ascii="Traditional Arabic" w:cs="Traditional Arabic" w:hAnsi="Traditional Arabic"/>
          <w:b/>
          <w:bCs/>
          <w:sz w:val="32"/>
          <w:szCs w:val="32"/>
          <w:lang w:val="en-US"/>
        </w:rPr>
        <w:t>H 200863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عنوان البريد الالكتروني: </w:t>
      </w:r>
      <w:r>
        <w:rPr/>
        <w:fldChar w:fldCharType="begin"/>
      </w:r>
      <w:r>
        <w:instrText xml:space="preserve"> HYPERLINK "mailto:bassoti011@gmail.com" </w:instrText>
      </w:r>
      <w:r>
        <w:rPr/>
        <w:fldChar w:fldCharType="separate"/>
      </w:r>
      <w:r>
        <w:rPr>
          <w:rStyle w:val="style85"/>
          <w:rFonts w:ascii="Traditional Arabic" w:cs="Traditional Arabic" w:hAnsi="Traditional Arabic"/>
          <w:b/>
          <w:bCs/>
          <w:sz w:val="32"/>
          <w:szCs w:val="32"/>
        </w:rPr>
        <w:t>bassoti011@gmail.com</w:t>
      </w:r>
      <w:r>
        <w:rPr/>
        <w:fldChar w:fldCharType="end"/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</w:rPr>
        <w:t>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الهاتف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المحمول....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i/>
          <w:iCs/>
          <w:color w:val="ff6600"/>
          <w:sz w:val="32"/>
          <w:szCs w:val="32"/>
          <w:u w:val="single"/>
          <w:rtl/>
          <w:lang w:val="en-US"/>
        </w:rPr>
      </w:pPr>
      <w:r>
        <w:rPr>
          <w:rFonts w:ascii="Traditional Arabic" w:cs="Traditional Arabic" w:hAnsi="Traditional Arabic"/>
          <w:b/>
          <w:bCs/>
          <w:i/>
          <w:iCs/>
          <w:color w:val="ff6600"/>
          <w:sz w:val="32"/>
          <w:szCs w:val="32"/>
          <w:u w:val="single"/>
          <w:rtl/>
          <w:lang w:val="en-US"/>
        </w:rPr>
        <w:t>+</w:t>
      </w:r>
      <w:r>
        <w:rPr>
          <w:rFonts w:ascii="Traditional Arabic" w:cs="Traditional Arabic" w:hAnsi="Traditional Arabic"/>
          <w:b/>
          <w:bCs/>
          <w:i/>
          <w:iCs/>
          <w:color w:val="ff6600"/>
          <w:sz w:val="32"/>
          <w:szCs w:val="32"/>
          <w:u w:val="single"/>
          <w:rtl/>
          <w:lang w:val="en-US"/>
        </w:rPr>
        <w:t xml:space="preserve"> الشهادات المحصل عليها</w:t>
      </w:r>
      <w:r>
        <w:rPr>
          <w:rFonts w:ascii="Traditional Arabic" w:cs="Traditional Arabic" w:hAnsi="Traditional Arabic"/>
          <w:b/>
          <w:bCs/>
          <w:i/>
          <w:iCs/>
          <w:color w:val="ff6600"/>
          <w:sz w:val="32"/>
          <w:szCs w:val="32"/>
          <w:u w:val="single"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i/>
          <w:iCs/>
          <w:color w:val="ff6600"/>
          <w:sz w:val="32"/>
          <w:szCs w:val="32"/>
          <w:u w:val="single"/>
          <w:rtl/>
          <w:lang w:val="en-US"/>
        </w:rPr>
        <w:t xml:space="preserve"> والمؤهلات العلمية</w:t>
      </w:r>
      <w:r>
        <w:rPr>
          <w:rFonts w:ascii="Traditional Arabic" w:cs="Traditional Arabic" w:hAnsi="Traditional Arabic"/>
          <w:b/>
          <w:bCs/>
          <w:i/>
          <w:iCs/>
          <w:color w:val="ff6600"/>
          <w:sz w:val="32"/>
          <w:szCs w:val="32"/>
          <w:u w:val="single"/>
          <w:rtl/>
          <w:lang w:val="en-US"/>
        </w:rPr>
        <w:t xml:space="preserve">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i/>
          <w:i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حافظ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لكتاب الله تعالى بقراءات متعددة-مع الإجازة فيها بالسند المتصل إلى خير البشر صلى الله عليه وسلم 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-.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نافع[ورش </w:t>
      </w:r>
      <w:r>
        <w:rPr>
          <w:rFonts w:ascii="Traditional Arabic" w:cs="Traditional Arabic" w:hAnsi="Traditional Arabic"/>
          <w:b/>
          <w:bCs/>
          <w:i/>
          <w:iCs/>
          <w:sz w:val="32"/>
          <w:szCs w:val="32"/>
          <w:rtl/>
          <w:lang w:val="en-US"/>
        </w:rPr>
        <w:t>–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قالون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]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عاصم[حفص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]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أبو عمرو البصري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. مع الاطلاع على أصول القراءات السبع من خلال مقدمة 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الشاطبية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 xml:space="preserve"> وبعض شروحها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............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i/>
          <w:i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الإجازة من كلية الشريعة بالجامعة الإسلامية بالمدينة المنورة على ساكنها أفضل الصلاة وأزكى السلام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بتقدير ممتاز والثامن ترتيبا في الدفعة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شهادة  الأهلية التربوية من المدرسة العليا للأساتذة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بفاس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شهادة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استكمال الدروس من جامعة سيدي محمد بن عبد الله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كلية الآداب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ظهر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المهراز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شهادة الدكتوراه من نفس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الجامعة 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-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تخصص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علوم القرآن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والحديث-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دبلوم الدراسات العليا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-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علوم القرآن والحديث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–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من دار الحديث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الحسنية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بالرباط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شهادة تزكية الخطابة من المجلس العلمي لمراكش.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عدة شواهد تقديرية من جهات علمية دينية وثقافية وتربوية.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شهادات تزكية من عدد من المشايخ كالشيخ أبي بكر الجزائري والشيخ محمد المختار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الشنقيطي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والشيخ محمد المختار محمد الأمين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الشنقيطي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حفظهم الله تعالى وغيرهم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</w:pP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>+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>المهام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 xml:space="preserve"> الثقافية والعلمية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عضوالمجلس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العلمي المحلي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لآسفي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(مؤسسة دينية رسمية تتولى الافتاء وتسيير الشأن الديني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)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أستا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ذ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التعليم العالي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بالمركز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الجهوي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لمهن التربية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والتكوين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محمد الخامس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بآسفي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(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تكوين أساتذة السلك الثانوي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والاعدادي)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نائب مدير معهد العرفان للتعليم العتيق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بآسفي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أستاذ التفسير وعلوم القرآن بالمعهد المذكور.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عضو الجمعية المغربية لأساتذة التربية الإسلامية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عضو جمعية العلماء خريجي دار الحديث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الحسنية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عضو جمعية أبي بكر الصديق لخدمة التعليم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العتيق 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عضو لجنة التحكيم في العديد من مسابقات حفظ القرآن الكريم وتجويده.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أستاذ زائر  بالكلية ال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م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تعدد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التخصصات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بآسفي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سابقا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لمادتي علوم القرآن والسيرة النبوية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خطيب جمعة بالمسجد العتيق بسبت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جزولة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.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</w:pP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>+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>الانتاجات</w:t>
      </w:r>
      <w:r>
        <w:rPr>
          <w:rFonts w:ascii="Traditional Arabic" w:cs="Traditional Arabic" w:hAnsi="Traditional Arabic"/>
          <w:b/>
          <w:bCs/>
          <w:i/>
          <w:iCs/>
          <w:color w:val="ff0000"/>
          <w:sz w:val="32"/>
          <w:szCs w:val="32"/>
          <w:u w:val="single"/>
          <w:rtl/>
          <w:lang w:val="en-US"/>
        </w:rPr>
        <w:t xml:space="preserve"> العلمية والأنشطة الثقافية 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درس التفسير الأسبوعي بمساجد إقليم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آسفي،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ودرس التفسير بمعهد العرفان.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درس أسبوعي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–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توقف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مؤقتا-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في شرح موطأ الإمام مالك.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تحقيق كتاب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تذكرة الع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ل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ماء في أصول الحديث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لابن الجزري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كتيب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الأخوة في الكتاب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والسنة".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تحقيق عدد من مؤلفات ابن الجزري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الحديثية،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الأربعون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العوالي"،"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وطرفة العالم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وغيرها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مشاريع بحوث وأعمال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قيد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الإنجاز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؛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منها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: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كتاب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على مائدة القرآن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معجم الأحاديث الضعيفة والموضوعة الواردة في شأن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المرأة".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زاد الخطيب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مجموع خطب الجمعة .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تحقيق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"،"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جزء في فضل من تسمى بمحمد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لابن الجزري.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هدي النبي المختار مع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الأقربين والخدم والآل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الأطهار".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مجموعة مقالات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منها: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البيئة في السنة النبوية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صدور الخطأ من الأخ لا يرفع صفة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الأخوة"،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نشرا في مجلة الوعي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الإسلامي .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المشاركة الفعلية في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مجموعة ندوات ومحاضرات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وطنية ودولية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.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مؤتمر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دولي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الحوار وأثره في الدفاع عن النبي صلى الله عليه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وسلم"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المنظم من قبل جامعة الإمام محمد بن سعود بالرياض تحت الرعاية السامية لخادم الحرمين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الشريفين،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بموضوع"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مسالك المهتدين في الذب عن خير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المرسلين".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مؤتمر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دولي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علوم الحديث وعلاقتها بالعلوم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الأخرى"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بجامعة الشارقة بدولة الإمارات العربية المتحدة الشقيقة.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مؤتمر دولي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المفسرون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المغاربيون"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بجامعة شعيب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الدكالي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بالجديدة.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المؤتمر الدولي الأول للقراءات في العالم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الاسلامي،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من تنظيم مركز أبي عمرو الداني بمراكش التابع للرابطة المحمدية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المشاركة في الملتقى الدولي الأول للتعليم القرآني بالجزائر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العاصمة،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والمنظم من قبل وزارة الشؤون الدينية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والاوقاف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بالجزائر،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بورقة تحت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عنوان"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معالم التجربة المغربية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الحديثية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في تحفيظ القران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الكريم".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أثر اختلاف القراءات في استنباط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الاحكام"،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ملتقى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مغاربي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قرآني منظم من قبل جمعية الهداية للقران الكريم بالتنسيق مع وزارة الشؤون الدينية التونسية بتونس.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مناهج البحث في العلوم الشرعية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"،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ندوة وطنية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بالكلية المتعددة التخصصات 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>بالناضور</w:t>
      </w:r>
      <w:r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0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ندوة وطنية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موقف النحاة من القراءات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القرآنية"،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بالكلية متعددة التخصصات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بآسفي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179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ندوة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وطنية حول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قضايا الأسرة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من خلال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المدونة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بمحكمة قضاء الأسرة. </w:t>
      </w:r>
    </w:p>
    <w:p>
      <w:pPr>
        <w:pStyle w:val="style179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ندوة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وطنية عن الخط العربي عنوانها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الرسم العثماني زينة الخط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العربي"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بالمركز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الجهوي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بآسفي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.</w:t>
      </w:r>
    </w:p>
    <w:p>
      <w:pPr>
        <w:pStyle w:val="style179"/>
        <w:numPr>
          <w:ilvl w:val="0"/>
          <w:numId w:val="1"/>
        </w:numPr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وغيرها من الندوات والمحاضرات والدروس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نسأل الله فيها الإخلاص.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rtl/>
          <w:lang w:val="en-US"/>
        </w:rPr>
      </w:pP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u w:val="single"/>
          <w:rtl/>
          <w:lang w:val="en-US"/>
        </w:rPr>
        <w:t xml:space="preserve">      </w:t>
      </w:r>
      <w:r>
        <w:rPr>
          <w:rFonts w:ascii="Traditional Arabic" w:cs="Traditional Arabic" w:hAnsi="Traditional Arabic" w:hint="cs"/>
          <w:b/>
          <w:bCs/>
          <w:i/>
          <w:iCs/>
          <w:sz w:val="32"/>
          <w:szCs w:val="32"/>
          <w:u w:val="single"/>
          <w:rtl/>
          <w:lang w:val="en-US"/>
        </w:rPr>
        <w:t>ملاحظة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: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هذه معلومات للإخبار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وللاقتضاء،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ولا نزكي أنفسنا على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الله،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ولا ن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تشبع بما لم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نُعْطَ،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فإن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"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المتشبع بما لم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    </w:t>
      </w:r>
    </w:p>
    <w:p>
      <w:pPr>
        <w:pStyle w:val="style0"/>
        <w:bidi/>
        <w:jc w:val="both"/>
        <w:rPr>
          <w:rFonts w:ascii="Traditional Arabic" w:cs="Traditional Arabic" w:hAnsi="Traditional Arabic"/>
          <w:b/>
          <w:bCs/>
          <w:sz w:val="32"/>
          <w:szCs w:val="32"/>
          <w:lang w:val="en-US"/>
        </w:rPr>
      </w:pP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      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يُعْطَ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كلابس ثوبي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زور"-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كما قال النبي صلى الله عليه 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>وسلم-</w:t>
      </w:r>
      <w:r>
        <w:rPr>
          <w:rFonts w:ascii="Traditional Arabic" w:cs="Traditional Arabic" w:hAnsi="Traditional Arabic" w:hint="cs"/>
          <w:b/>
          <w:bCs/>
          <w:sz w:val="32"/>
          <w:szCs w:val="32"/>
          <w:rtl/>
          <w:lang w:val="en-US"/>
        </w:rPr>
        <w:t xml:space="preserve"> نعوذ بالله من ذلك.</w:t>
      </w:r>
    </w:p>
    <w:sectPr>
      <w:footerReference w:type="default" r:id="rId2"/>
      <w:pgSz w:w="11906" w:h="16838" w:orient="portrait"/>
      <w:pgMar w:top="340" w:right="567" w:bottom="340" w:left="737" w:header="709" w:footer="709" w:gutter="0"/>
      <w:pgBorders w:zOrder="front" w:display="allPages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3604982"/>
    <w:lvl w:ilvl="0" w:tplc="AEF2275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fr-FR"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Pied de page Car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4"/>
      <w:szCs w:val="24"/>
      <w:lang w:val="fr-FR" w:eastAsia="fr-F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651</Words>
  <Characters>3327</Characters>
  <Application>WPS Office</Application>
  <DocSecurity>0</DocSecurity>
  <Paragraphs>56</Paragraphs>
  <ScaleCrop>false</ScaleCrop>
  <LinksUpToDate>false</LinksUpToDate>
  <CharactersWithSpaces>3967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2016-08-17T22:35:37Z</dcterms:created>
  <dc:creator>salim</dc:creator>
  <lastModifiedBy>HUAWEI NXT-L29</lastModifiedBy>
  <dcterms:modified xsi:type="dcterms:W3CDTF">2016-08-17T22:35:37Z</dcterms:modified>
  <revision>4</revision>
</coreProperties>
</file>