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15" w:rsidRDefault="00247415" w:rsidP="00247415">
      <w:pPr>
        <w:bidi/>
        <w:ind w:left="284"/>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فقه </w:t>
      </w:r>
      <w:r w:rsidRPr="00247415">
        <w:rPr>
          <w:rFonts w:ascii="Traditional Arabic" w:hAnsi="Traditional Arabic" w:cs="Traditional Arabic" w:hint="cs"/>
          <w:b/>
          <w:bCs/>
          <w:sz w:val="36"/>
          <w:szCs w:val="36"/>
          <w:rtl/>
        </w:rPr>
        <w:t>التوقع في السنة النبوية</w:t>
      </w:r>
    </w:p>
    <w:p w:rsidR="00247415" w:rsidRPr="00247415" w:rsidRDefault="00247415" w:rsidP="00247415">
      <w:pPr>
        <w:bidi/>
        <w:ind w:left="284"/>
        <w:jc w:val="center"/>
        <w:rPr>
          <w:rFonts w:ascii="Traditional Arabic" w:hAnsi="Traditional Arabic" w:cs="Traditional Arabic" w:hint="cs"/>
          <w:b/>
          <w:bCs/>
          <w:sz w:val="36"/>
          <w:szCs w:val="36"/>
        </w:rPr>
      </w:pPr>
      <w:r>
        <w:rPr>
          <w:rFonts w:ascii="Traditional Arabic" w:hAnsi="Traditional Arabic" w:cs="Traditional Arabic" w:hint="cs"/>
          <w:b/>
          <w:bCs/>
          <w:sz w:val="36"/>
          <w:szCs w:val="36"/>
          <w:rtl/>
        </w:rPr>
        <w:t>مقدمة: د. مجدي عبد العظيم إبراهيم</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 xml:space="preserve">  ورد في السنة النبوية ما دل على التّوقّع في</w:t>
      </w:r>
      <w:bookmarkStart w:id="0" w:name="_GoBack"/>
      <w:bookmarkEnd w:id="0"/>
      <w:r w:rsidRPr="00247415">
        <w:rPr>
          <w:rFonts w:ascii="Traditional Arabic" w:hAnsi="Traditional Arabic" w:cs="Traditional Arabic" w:hint="cs"/>
          <w:sz w:val="36"/>
          <w:szCs w:val="36"/>
          <w:rtl/>
        </w:rPr>
        <w:t xml:space="preserve"> أحاديث كثيرة، ومن ذلك موقف الرسول </w:t>
      </w:r>
      <w:r w:rsidRPr="00247415">
        <w:rPr>
          <w:rFonts w:ascii="Traditional Arabic" w:hAnsi="Traditional Arabic" w:cs="Traditional Arabic"/>
          <w:sz w:val="36"/>
          <w:szCs w:val="36"/>
          <w:rtl/>
        </w:rPr>
        <w:t>–</w:t>
      </w:r>
      <w:r w:rsidRPr="00247415">
        <w:rPr>
          <w:rFonts w:ascii="Traditional Arabic" w:hAnsi="Traditional Arabic" w:cs="Traditional Arabic" w:hint="cs"/>
          <w:sz w:val="36"/>
          <w:szCs w:val="36"/>
          <w:rtl/>
        </w:rPr>
        <w:t xml:space="preserve">صلى الله عليه وسلم- في حرصه على توقي الشبهات، وحسم مادة الفساد وسوء الظن، وذلك فيما روي عن صفية بنت </w:t>
      </w:r>
      <w:proofErr w:type="spellStart"/>
      <w:r w:rsidRPr="00247415">
        <w:rPr>
          <w:rFonts w:ascii="Traditional Arabic" w:hAnsi="Traditional Arabic" w:cs="Traditional Arabic" w:hint="cs"/>
          <w:sz w:val="36"/>
          <w:szCs w:val="36"/>
          <w:rtl/>
        </w:rPr>
        <w:t>حيى</w:t>
      </w:r>
      <w:proofErr w:type="spellEnd"/>
      <w:r w:rsidRPr="00247415">
        <w:rPr>
          <w:rFonts w:ascii="Traditional Arabic" w:hAnsi="Traditional Arabic" w:cs="Traditional Arabic" w:hint="cs"/>
          <w:sz w:val="36"/>
          <w:szCs w:val="36"/>
          <w:rtl/>
        </w:rPr>
        <w:t xml:space="preserve">، زوج النبي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b/>
          <w:bCs/>
          <w:sz w:val="36"/>
          <w:szCs w:val="36"/>
          <w:rtl/>
        </w:rPr>
        <w:t xml:space="preserve"> </w:t>
      </w:r>
      <w:r w:rsidRPr="00247415">
        <w:rPr>
          <w:rFonts w:ascii="Traditional Arabic" w:hAnsi="Traditional Arabic" w:cs="Traditional Arabic" w:hint="cs"/>
          <w:sz w:val="36"/>
          <w:szCs w:val="36"/>
          <w:rtl/>
        </w:rPr>
        <w:t xml:space="preserve">أنها جاءت إلى رسول الله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xml:space="preserve"> تزوره، وهو معتكف في المسجد في العشر الأواخر من شهر رمضان، فتحدثت عنده ساعة من العشاء، ثم قامت تنقلب، فقام معها رسول الله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xml:space="preserve"> يقلبها، حتى إذا بلغت باب المسجد الذي كان عند مسكن أم سلمة، زوج النبي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xml:space="preserve"> فمر بهما رجلان من الأنصار، فسلما على رسول الله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xml:space="preserve">، ثم نفذا، فقال رسول الله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xml:space="preserve">: (على رسلكما، إنها صفية بنت </w:t>
      </w:r>
      <w:proofErr w:type="spellStart"/>
      <w:r w:rsidRPr="00247415">
        <w:rPr>
          <w:rFonts w:ascii="Traditional Arabic" w:hAnsi="Traditional Arabic" w:cs="Traditional Arabic" w:hint="cs"/>
          <w:sz w:val="36"/>
          <w:szCs w:val="36"/>
          <w:rtl/>
        </w:rPr>
        <w:t>حيى</w:t>
      </w:r>
      <w:proofErr w:type="spellEnd"/>
      <w:r w:rsidRPr="00247415">
        <w:rPr>
          <w:rFonts w:ascii="Traditional Arabic" w:hAnsi="Traditional Arabic" w:cs="Traditional Arabic" w:hint="cs"/>
          <w:sz w:val="36"/>
          <w:szCs w:val="36"/>
          <w:rtl/>
        </w:rPr>
        <w:t xml:space="preserve">) فقالا: سبحان الله، يا رسول الله! وكبر عليهما ذلك، فقال رسول الله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sz w:val="36"/>
          <w:szCs w:val="36"/>
          <w:rtl/>
        </w:rPr>
        <w:t>: (إن الشيطان يجري من ابن آدم مجرى الدم، وإني خشيت أن يقذف في قلوبكما شيئاً)، وفي رواية: (شرا)</w:t>
      </w:r>
      <w:r w:rsidRPr="00247415">
        <w:rPr>
          <w:rFonts w:ascii="Traditional Arabic" w:hAnsi="Traditional Arabic" w:cs="Traditional Arabic"/>
          <w:sz w:val="36"/>
          <w:szCs w:val="36"/>
          <w:vertAlign w:val="superscript"/>
          <w:rtl/>
        </w:rPr>
        <w:t xml:space="preserve"> (</w:t>
      </w:r>
      <w:r w:rsidRPr="00247415">
        <w:rPr>
          <w:rFonts w:ascii="Traditional Arabic" w:hAnsi="Traditional Arabic" w:cs="Traditional Arabic"/>
          <w:sz w:val="36"/>
          <w:szCs w:val="36"/>
          <w:vertAlign w:val="superscript"/>
          <w:rtl/>
        </w:rPr>
        <w:footnoteReference w:id="1"/>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 xml:space="preserve">. </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 xml:space="preserve">يتبين للباحث حرص الرسول </w:t>
      </w:r>
      <w:r w:rsidRPr="00247415">
        <w:rPr>
          <w:rFonts w:ascii="Traditional Arabic" w:hAnsi="Traditional Arabic" w:cs="Traditional Arabic" w:hint="cs"/>
          <w:sz w:val="36"/>
          <w:szCs w:val="36"/>
        </w:rPr>
        <w:sym w:font="AGA Arabesque" w:char="F072"/>
      </w:r>
      <w:r w:rsidRPr="00247415">
        <w:rPr>
          <w:rFonts w:ascii="Traditional Arabic" w:hAnsi="Traditional Arabic" w:cs="Traditional Arabic" w:hint="cs"/>
          <w:b/>
          <w:bCs/>
          <w:sz w:val="36"/>
          <w:szCs w:val="36"/>
          <w:rtl/>
        </w:rPr>
        <w:t xml:space="preserve"> </w:t>
      </w:r>
      <w:r w:rsidRPr="00247415">
        <w:rPr>
          <w:rFonts w:ascii="Traditional Arabic" w:hAnsi="Traditional Arabic" w:cs="Traditional Arabic" w:hint="cs"/>
          <w:sz w:val="36"/>
          <w:szCs w:val="36"/>
          <w:rtl/>
        </w:rPr>
        <w:t xml:space="preserve">على توقي الشبهات ومنع مادة الفساد، المتمثلة في سوء الظن به، برغم أن صفية زوجته، وذلك لتوقعه، أن موقف مثل هذا قد يثير سوء الظن بالعقول، فكان تصرفه </w:t>
      </w:r>
      <w:proofErr w:type="spellStart"/>
      <w:r w:rsidRPr="00247415">
        <w:rPr>
          <w:rFonts w:ascii="Traditional Arabic" w:hAnsi="Traditional Arabic" w:cs="Traditional Arabic" w:hint="cs"/>
          <w:sz w:val="36"/>
          <w:szCs w:val="36"/>
          <w:rtl/>
        </w:rPr>
        <w:t>درءا</w:t>
      </w:r>
      <w:proofErr w:type="spellEnd"/>
      <w:r w:rsidRPr="00247415">
        <w:rPr>
          <w:rFonts w:ascii="Traditional Arabic" w:hAnsi="Traditional Arabic" w:cs="Traditional Arabic" w:hint="cs"/>
          <w:sz w:val="36"/>
          <w:szCs w:val="36"/>
          <w:rtl/>
        </w:rPr>
        <w:t xml:space="preserve"> للشبهة، وسد لذريعة سوء الظن به.</w:t>
      </w:r>
    </w:p>
    <w:p w:rsidR="00247415" w:rsidRPr="00247415" w:rsidRDefault="00247415" w:rsidP="00247415">
      <w:pPr>
        <w:numPr>
          <w:ilvl w:val="0"/>
          <w:numId w:val="1"/>
        </w:numPr>
        <w:bidi/>
        <w:rPr>
          <w:rFonts w:ascii="Traditional Arabic" w:hAnsi="Traditional Arabic" w:cs="Traditional Arabic" w:hint="cs"/>
          <w:b/>
          <w:bCs/>
          <w:sz w:val="36"/>
          <w:szCs w:val="36"/>
        </w:rPr>
      </w:pPr>
      <w:r w:rsidRPr="00247415">
        <w:rPr>
          <w:rFonts w:ascii="Traditional Arabic" w:hAnsi="Traditional Arabic" w:cs="Traditional Arabic"/>
          <w:sz w:val="36"/>
          <w:szCs w:val="36"/>
          <w:rtl/>
        </w:rPr>
        <w:t xml:space="preserve"> </w:t>
      </w:r>
      <w:r w:rsidRPr="00247415">
        <w:rPr>
          <w:rFonts w:ascii="Traditional Arabic" w:hAnsi="Traditional Arabic" w:cs="Traditional Arabic" w:hint="cs"/>
          <w:b/>
          <w:bCs/>
          <w:sz w:val="36"/>
          <w:szCs w:val="36"/>
          <w:rtl/>
        </w:rPr>
        <w:t xml:space="preserve">نموذج التوقع في فقه الصحابة: </w:t>
      </w:r>
    </w:p>
    <w:p w:rsidR="00247415" w:rsidRPr="00247415" w:rsidRDefault="00247415" w:rsidP="00247415">
      <w:pPr>
        <w:bidi/>
        <w:rPr>
          <w:rFonts w:ascii="Traditional Arabic" w:hAnsi="Traditional Arabic" w:cs="Traditional Arabic" w:hint="cs"/>
          <w:b/>
          <w:bCs/>
          <w:sz w:val="36"/>
          <w:szCs w:val="36"/>
          <w:rtl/>
        </w:rPr>
      </w:pPr>
      <w:r w:rsidRPr="00247415">
        <w:rPr>
          <w:rFonts w:ascii="Traditional Arabic" w:hAnsi="Traditional Arabic" w:cs="Traditional Arabic" w:hint="cs"/>
          <w:b/>
          <w:bCs/>
          <w:sz w:val="36"/>
          <w:szCs w:val="36"/>
          <w:rtl/>
        </w:rPr>
        <w:t>مسألة: زواج الكتابيات:</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lastRenderedPageBreak/>
        <w:t xml:space="preserve">زواج الحرائر (اليهود والنصارى) من المسائل التي أحلها الله سبحانه وتعالى في كتابه: </w:t>
      </w:r>
      <w:r w:rsidRPr="00247415">
        <w:rPr>
          <w:rFonts w:ascii="Traditional Arabic" w:hAnsi="Traditional Arabic" w:cs="Traditional Arabic"/>
          <w:sz w:val="36"/>
          <w:szCs w:val="36"/>
          <w:rtl/>
        </w:rPr>
        <w:t xml:space="preserve">(اليوم أحل لكم الطيبات وطعام الذين أوتوا الكتاب حل لكم وطعامكم حل لهم .... وهو في الآخرة من الخاسرين)   </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2"/>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من منطلق هذه الآية يفهم أن الزواج من نساء أهل الكتاب هو أمر مباح، وهو ما اتفق عليه أهل العلم</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3"/>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 ويؤكد ذلك ما روي عن زيد بن وهب قال: كتب عمر بن الخطاب: أن المسلم ينكح النصرانية، والنصراني لا ينكح المسلمة</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4"/>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 xml:space="preserve">. </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فإذا كان القرآن الكريم نص صراحة على حل زواج نساء أهل الكتاب، وجاءت أقوال وأفعال للصحابة في ذلك، ومنهم: عمر بن الخطاب تدل على حل هذا الزواج، وأسند ذاك إجماع سائر أهل العلم، إلا أن ما روي عن موقف عمر بن الخطاب أنه أمر الصحابة الذين تزوجوا من أهل الكتاب بطلاق زوجاتهم، فيدل على أنه قصد من وراء ذلك سد الذريعة، لتوقع وقوع ضرر من وراء هذا الزواج يلحق بالزوج المسلم، أو بدولة الإسلام رغم أنه في أصله مباح</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5"/>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 xml:space="preserve">. </w:t>
      </w:r>
    </w:p>
    <w:p w:rsidR="00247415" w:rsidRPr="00247415" w:rsidRDefault="00247415" w:rsidP="00247415">
      <w:pPr>
        <w:bidi/>
        <w:rPr>
          <w:rFonts w:ascii="Traditional Arabic" w:hAnsi="Traditional Arabic" w:cs="Traditional Arabic" w:hint="cs"/>
          <w:sz w:val="36"/>
          <w:szCs w:val="36"/>
        </w:rPr>
      </w:pPr>
      <w:r w:rsidRPr="00247415">
        <w:rPr>
          <w:rFonts w:ascii="Traditional Arabic" w:hAnsi="Traditional Arabic" w:cs="Traditional Arabic" w:hint="cs"/>
          <w:sz w:val="36"/>
          <w:szCs w:val="36"/>
          <w:rtl/>
        </w:rPr>
        <w:lastRenderedPageBreak/>
        <w:t xml:space="preserve">ويفهم مما سبق أن عمر بن الخطاب رضي الله عنه، أنه لم يحرم زواج الكتابيات، وإنما حذر منه سد لذرائع كثيرة يترتب عليها مفاسد متوقعة رغم أن أصل هذا الزواج مباح، وهو خشية مغبة </w:t>
      </w:r>
      <w:proofErr w:type="spellStart"/>
      <w:r w:rsidRPr="00247415">
        <w:rPr>
          <w:rFonts w:ascii="Traditional Arabic" w:hAnsi="Traditional Arabic" w:cs="Traditional Arabic" w:hint="cs"/>
          <w:sz w:val="36"/>
          <w:szCs w:val="36"/>
          <w:rtl/>
        </w:rPr>
        <w:t>التلعق</w:t>
      </w:r>
      <w:proofErr w:type="spellEnd"/>
      <w:r w:rsidRPr="00247415">
        <w:rPr>
          <w:rFonts w:ascii="Traditional Arabic" w:hAnsi="Traditional Arabic" w:cs="Traditional Arabic" w:hint="cs"/>
          <w:sz w:val="36"/>
          <w:szCs w:val="36"/>
          <w:rtl/>
        </w:rPr>
        <w:t xml:space="preserve"> بنساء الأعاجم لجمالهن وحسنهن، وأثره ذلك في زيادة العنوسة بين النساء المسلمات، ومخافة عدم </w:t>
      </w:r>
      <w:proofErr w:type="spellStart"/>
      <w:r w:rsidRPr="00247415">
        <w:rPr>
          <w:rFonts w:ascii="Traditional Arabic" w:hAnsi="Traditional Arabic" w:cs="Traditional Arabic" w:hint="cs"/>
          <w:sz w:val="36"/>
          <w:szCs w:val="36"/>
          <w:rtl/>
        </w:rPr>
        <w:t>الأطمئنان</w:t>
      </w:r>
      <w:proofErr w:type="spellEnd"/>
      <w:r w:rsidRPr="00247415">
        <w:rPr>
          <w:rFonts w:ascii="Traditional Arabic" w:hAnsi="Traditional Arabic" w:cs="Traditional Arabic" w:hint="cs"/>
          <w:sz w:val="36"/>
          <w:szCs w:val="36"/>
          <w:rtl/>
        </w:rPr>
        <w:t xml:space="preserve"> إلى أخلاق الكتابيات، ودرء مفسدة تلحق بالزوج نفسه، والدولة الإسلامية. وإذا كانت هذه الأمور قد سدت ذرائعها في زمان عمر بن الخطاب لتوقع المفاسد التي من الممكن أن تترتب عليها، فإننا نجد هذه المصالح التي سد من أجلها هذا الزواج هو ما </w:t>
      </w:r>
      <w:proofErr w:type="spellStart"/>
      <w:r w:rsidRPr="00247415">
        <w:rPr>
          <w:rFonts w:ascii="Traditional Arabic" w:hAnsi="Traditional Arabic" w:cs="Traditional Arabic" w:hint="cs"/>
          <w:sz w:val="36"/>
          <w:szCs w:val="36"/>
          <w:rtl/>
        </w:rPr>
        <w:t>تتحراه</w:t>
      </w:r>
      <w:proofErr w:type="spellEnd"/>
      <w:r w:rsidRPr="00247415">
        <w:rPr>
          <w:rFonts w:ascii="Traditional Arabic" w:hAnsi="Traditional Arabic" w:cs="Traditional Arabic" w:hint="cs"/>
          <w:sz w:val="36"/>
          <w:szCs w:val="36"/>
          <w:rtl/>
        </w:rPr>
        <w:t xml:space="preserve"> الدول الآن في زماننا، في منع طوائف من مواطنيها يحتلون وظائف حساسة في دولهم من الزواج من غير مواطناتهم، كأمثال رجال السلك الدبلوماسي ورجال المخابرات، لأسباب تمس الأمن العام لهذه الدول. وقد لا تحدث المفاسد إلا أن احتمال وقوعها قائم، وأثبتت التجارب العديدة أن سد باب الاحتمال أفضل من متابعة الميول الفردية</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6"/>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  ويتضح أن موقف عمر بن الخطاب من زواج الكتابيات لم يكن التحريم، لأنه بذلك يكون قد خالف أمر أباحه الشرع، ولكن موقفه تأسس على الخشية والحذر من هذا الزواج وما يتوقعه من نتائج وآثار تترتب عليه في مستقبل هذا الزواج على المجتمع الإسلامي، والزوج المسلم والدولة الإسلامية.</w:t>
      </w:r>
    </w:p>
    <w:p w:rsidR="00247415" w:rsidRPr="00247415" w:rsidRDefault="00247415" w:rsidP="00247415">
      <w:pPr>
        <w:numPr>
          <w:ilvl w:val="0"/>
          <w:numId w:val="1"/>
        </w:numPr>
        <w:bidi/>
        <w:rPr>
          <w:rFonts w:ascii="Traditional Arabic" w:hAnsi="Traditional Arabic" w:cs="Traditional Arabic" w:hint="cs"/>
          <w:b/>
          <w:bCs/>
          <w:sz w:val="36"/>
          <w:szCs w:val="36"/>
        </w:rPr>
      </w:pPr>
      <w:r w:rsidRPr="00247415">
        <w:rPr>
          <w:rFonts w:ascii="Traditional Arabic" w:hAnsi="Traditional Arabic" w:cs="Traditional Arabic" w:hint="cs"/>
          <w:b/>
          <w:bCs/>
          <w:sz w:val="36"/>
          <w:szCs w:val="36"/>
          <w:rtl/>
        </w:rPr>
        <w:t>فقه التوقع في أقضية الفقهاء:</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 xml:space="preserve">ورد فقه التوقع في أقضية ومسائل الفقهاء بعد عصر الصحابة، فكانت مسائله ظاهرة في تطبيقات المذاهب المختلفة؛ فكان فقه التوقع في هذه المسائل أو الأقضية مُعبر عنه؛ كأقضيتهم في الاستحسان والمصالح المرسلة، وسد الذرائع واعتبار </w:t>
      </w:r>
      <w:proofErr w:type="spellStart"/>
      <w:r w:rsidRPr="00247415">
        <w:rPr>
          <w:rFonts w:ascii="Traditional Arabic" w:hAnsi="Traditional Arabic" w:cs="Traditional Arabic" w:hint="cs"/>
          <w:sz w:val="36"/>
          <w:szCs w:val="36"/>
          <w:rtl/>
        </w:rPr>
        <w:t>المآلات</w:t>
      </w:r>
      <w:proofErr w:type="spellEnd"/>
      <w:r w:rsidRPr="00247415">
        <w:rPr>
          <w:rFonts w:ascii="Traditional Arabic" w:hAnsi="Traditional Arabic" w:cs="Traditional Arabic" w:hint="cs"/>
          <w:sz w:val="36"/>
          <w:szCs w:val="36"/>
          <w:rtl/>
        </w:rPr>
        <w:t>، نذكر منها على سبيل المثال:</w:t>
      </w:r>
    </w:p>
    <w:p w:rsidR="00247415" w:rsidRPr="00247415" w:rsidRDefault="00247415" w:rsidP="00247415">
      <w:pPr>
        <w:bidi/>
        <w:rPr>
          <w:rFonts w:ascii="Traditional Arabic" w:hAnsi="Traditional Arabic" w:cs="Traditional Arabic" w:hint="cs"/>
          <w:b/>
          <w:bCs/>
          <w:sz w:val="36"/>
          <w:szCs w:val="36"/>
          <w:rtl/>
        </w:rPr>
      </w:pPr>
      <w:r w:rsidRPr="00247415">
        <w:rPr>
          <w:rFonts w:ascii="Traditional Arabic" w:hAnsi="Traditional Arabic" w:cs="Traditional Arabic" w:hint="cs"/>
          <w:b/>
          <w:bCs/>
          <w:sz w:val="36"/>
          <w:szCs w:val="36"/>
          <w:rtl/>
        </w:rPr>
        <w:t>مسألة: تقييد الحق في الملكية:</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lastRenderedPageBreak/>
        <w:t xml:space="preserve">ذهب جمهور المالكية إلى تقييد الحق في الملكية الفردية، حتى لا يكون الإفضاء المترتب على ممارسة هذا الحق؛ ينتج عنه </w:t>
      </w:r>
      <w:proofErr w:type="spellStart"/>
      <w:r w:rsidRPr="00247415">
        <w:rPr>
          <w:rFonts w:ascii="Traditional Arabic" w:hAnsi="Traditional Arabic" w:cs="Traditional Arabic" w:hint="cs"/>
          <w:sz w:val="36"/>
          <w:szCs w:val="36"/>
          <w:rtl/>
        </w:rPr>
        <w:t>مآلات</w:t>
      </w:r>
      <w:proofErr w:type="spellEnd"/>
      <w:r w:rsidRPr="00247415">
        <w:rPr>
          <w:rFonts w:ascii="Traditional Arabic" w:hAnsi="Traditional Arabic" w:cs="Traditional Arabic" w:hint="cs"/>
          <w:sz w:val="36"/>
          <w:szCs w:val="36"/>
          <w:rtl/>
        </w:rPr>
        <w:t xml:space="preserve"> ممنوعة يكون فيها مساس بالمصلحة العامة، أو إضرار يلحق بالغير نتيجة ممارسة هذا الحق، في وقت كان فيه من الممكن تفادي تلك الأضرار بالتنسيق بين الحقوق بما يحقق المصلحة لكلا الطرفين وعدم لحوق الضرر لأي منهما</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7"/>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t xml:space="preserve">قال ابن عبد البر </w:t>
      </w:r>
      <w:r w:rsidRPr="00247415">
        <w:rPr>
          <w:rFonts w:ascii="Traditional Arabic" w:hAnsi="Traditional Arabic" w:cs="Traditional Arabic"/>
          <w:sz w:val="36"/>
          <w:szCs w:val="36"/>
          <w:rtl/>
        </w:rPr>
        <w:t>–</w:t>
      </w:r>
      <w:r w:rsidRPr="00247415">
        <w:rPr>
          <w:rFonts w:ascii="Traditional Arabic" w:hAnsi="Traditional Arabic" w:cs="Traditional Arabic" w:hint="cs"/>
          <w:sz w:val="36"/>
          <w:szCs w:val="36"/>
          <w:rtl/>
        </w:rPr>
        <w:t>رحمه الله- في ذلك: "</w:t>
      </w:r>
      <w:r w:rsidRPr="00247415">
        <w:rPr>
          <w:rFonts w:ascii="Traditional Arabic" w:hAnsi="Traditional Arabic" w:cs="Traditional Arabic"/>
          <w:sz w:val="36"/>
          <w:szCs w:val="36"/>
          <w:rtl/>
          <w:lang w:bidi="ar-EG"/>
        </w:rPr>
        <w:t>فمن أدخل على أخيه المسلم ضررا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ن</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ع</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منه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فإن أدخل على أخيه ضرر</w:t>
      </w:r>
      <w:r w:rsidRPr="00247415">
        <w:rPr>
          <w:rFonts w:ascii="Traditional Arabic" w:hAnsi="Traditional Arabic" w:cs="Traditional Arabic" w:hint="cs"/>
          <w:sz w:val="36"/>
          <w:szCs w:val="36"/>
          <w:rtl/>
          <w:lang w:bidi="ar-EG"/>
        </w:rPr>
        <w:t>اً</w:t>
      </w:r>
      <w:r w:rsidRPr="00247415">
        <w:rPr>
          <w:rFonts w:ascii="Traditional Arabic" w:hAnsi="Traditional Arabic" w:cs="Traditional Arabic"/>
          <w:sz w:val="36"/>
          <w:szCs w:val="36"/>
          <w:rtl/>
          <w:lang w:bidi="ar-EG"/>
        </w:rPr>
        <w:t xml:space="preserve"> بفعل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ما كان له فعله فيما له فأضر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فعله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ذلك بجاره أو غير جاره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ن</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ظ</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إلى ذلك الفعل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فإن كان تركه أكبر ضررا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من الض</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رر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الد</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اخل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على الفاعل ذلك في ماله إذا قطع عنه ما فعله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قطع أكبر الض</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ررين وأعظمهما ح</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رمة</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في الأصول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مثال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ذلك</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رجل</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فتح ك</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و</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ة يط</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لع منها على دار أخيه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وفيها العيال والأهل </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ومن شأن النساء في بيوتهن إلقاء بعض ثيابهن والانتشار في حوائجهن</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ومعلوم أن ال</w:t>
      </w:r>
      <w:r w:rsidRPr="00247415">
        <w:rPr>
          <w:rFonts w:ascii="Traditional Arabic" w:hAnsi="Traditional Arabic" w:cs="Traditional Arabic" w:hint="cs"/>
          <w:sz w:val="36"/>
          <w:szCs w:val="36"/>
          <w:rtl/>
          <w:lang w:bidi="ar-EG"/>
        </w:rPr>
        <w:t>ا</w:t>
      </w:r>
      <w:r w:rsidRPr="00247415">
        <w:rPr>
          <w:rFonts w:ascii="Traditional Arabic" w:hAnsi="Traditional Arabic" w:cs="Traditional Arabic"/>
          <w:sz w:val="36"/>
          <w:szCs w:val="36"/>
          <w:rtl/>
          <w:lang w:bidi="ar-EG"/>
        </w:rPr>
        <w:t>طلاع على العورات محر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م قد ورد فيه النهي</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فلحرمة الاط</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لاع على العورات</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رأى العلماء أن يغلقوا على فاتح الكوة والباب ما فتح ما له فيه منفعة وراحة</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وفي غلقه عليه ضرر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لأنهم قصدوا إلى قطع أعظم الضررين إذا لم يكن بد</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من قطع أحدهما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وكذلك من </w:t>
      </w:r>
      <w:r w:rsidRPr="00247415">
        <w:rPr>
          <w:rFonts w:ascii="Traditional Arabic" w:hAnsi="Traditional Arabic" w:cs="Traditional Arabic" w:hint="cs"/>
          <w:sz w:val="36"/>
          <w:szCs w:val="36"/>
          <w:rtl/>
          <w:lang w:bidi="ar-EG"/>
        </w:rPr>
        <w:t>أ</w:t>
      </w:r>
      <w:r w:rsidRPr="00247415">
        <w:rPr>
          <w:rFonts w:ascii="Traditional Arabic" w:hAnsi="Traditional Arabic" w:cs="Traditional Arabic"/>
          <w:sz w:val="36"/>
          <w:szCs w:val="36"/>
          <w:rtl/>
          <w:lang w:bidi="ar-EG"/>
        </w:rPr>
        <w:t>حدث بناء</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في رحا ماء</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أو غير رحا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فيبطل ما أحدثه على غيره منفعة قد استحق</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ت وثبت ملكها لصاحبها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منع من ذلك</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لأن إدخاله المضر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ة على جاره بما له فيه منفعة كإدخاله عليه المضر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ة ما لا منفعة فيه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ألا ترى أن</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ه لو أراد هدم منفعة جاره وإفسادها من غير بناء يبنيه لنفسه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لم يكن ذلك له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فكذلك إذا بنى أو فعل لنفسه فعلا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يضر</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به بجاره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ويفسد عليه ملكه أو شيئا قد استحق</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ه وصار ماله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وهذه أصول قد بانت عللها</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ف</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ق</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س</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عليها ما كان في معناها ت</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ص</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ب</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إن شاء الله</w:t>
      </w:r>
      <w:r w:rsidRPr="00247415">
        <w:rPr>
          <w:rFonts w:ascii="Traditional Arabic" w:hAnsi="Traditional Arabic" w:cs="Traditional Arabic" w:hint="cs"/>
          <w:sz w:val="36"/>
          <w:szCs w:val="36"/>
          <w:rtl/>
          <w:lang w:bidi="ar-EG"/>
        </w:rPr>
        <w:t>،</w:t>
      </w:r>
      <w:r w:rsidRPr="00247415">
        <w:rPr>
          <w:rFonts w:ascii="Traditional Arabic" w:hAnsi="Traditional Arabic" w:cs="Traditional Arabic"/>
          <w:sz w:val="36"/>
          <w:szCs w:val="36"/>
          <w:rtl/>
          <w:lang w:bidi="ar-EG"/>
        </w:rPr>
        <w:t xml:space="preserve"> وهذا كله باب واحد متقارب المعاني متداخل فاضبط أصله</w:t>
      </w:r>
      <w:r w:rsidRPr="00247415">
        <w:rPr>
          <w:rFonts w:ascii="Traditional Arabic" w:hAnsi="Traditional Arabic" w:cs="Traditional Arabic" w:hint="cs"/>
          <w:sz w:val="36"/>
          <w:szCs w:val="36"/>
          <w:rtl/>
        </w:rPr>
        <w:t>"</w:t>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sz w:val="36"/>
          <w:szCs w:val="36"/>
          <w:vertAlign w:val="superscript"/>
          <w:rtl/>
        </w:rPr>
        <w:footnoteReference w:id="8"/>
      </w:r>
      <w:r w:rsidRPr="00247415">
        <w:rPr>
          <w:rFonts w:ascii="Traditional Arabic" w:hAnsi="Traditional Arabic" w:cs="Traditional Arabic"/>
          <w:sz w:val="36"/>
          <w:szCs w:val="36"/>
          <w:vertAlign w:val="superscript"/>
          <w:rtl/>
        </w:rPr>
        <w:t>)</w:t>
      </w:r>
      <w:r w:rsidRPr="00247415">
        <w:rPr>
          <w:rFonts w:ascii="Traditional Arabic" w:hAnsi="Traditional Arabic" w:cs="Traditional Arabic" w:hint="cs"/>
          <w:sz w:val="36"/>
          <w:szCs w:val="36"/>
          <w:rtl/>
        </w:rPr>
        <w:t>.</w:t>
      </w:r>
    </w:p>
    <w:p w:rsidR="00247415" w:rsidRPr="00247415" w:rsidRDefault="00247415" w:rsidP="00247415">
      <w:pPr>
        <w:bidi/>
        <w:rPr>
          <w:rFonts w:ascii="Traditional Arabic" w:hAnsi="Traditional Arabic" w:cs="Traditional Arabic" w:hint="cs"/>
          <w:sz w:val="36"/>
          <w:szCs w:val="36"/>
          <w:rtl/>
        </w:rPr>
      </w:pPr>
      <w:r w:rsidRPr="00247415">
        <w:rPr>
          <w:rFonts w:ascii="Traditional Arabic" w:hAnsi="Traditional Arabic" w:cs="Traditional Arabic" w:hint="cs"/>
          <w:sz w:val="36"/>
          <w:szCs w:val="36"/>
          <w:rtl/>
        </w:rPr>
        <w:lastRenderedPageBreak/>
        <w:t xml:space="preserve">فيظهر للباحث مما سبق ما دل على مراعاة </w:t>
      </w:r>
      <w:proofErr w:type="spellStart"/>
      <w:r w:rsidRPr="00247415">
        <w:rPr>
          <w:rFonts w:ascii="Traditional Arabic" w:hAnsi="Traditional Arabic" w:cs="Traditional Arabic" w:hint="cs"/>
          <w:sz w:val="36"/>
          <w:szCs w:val="36"/>
          <w:rtl/>
        </w:rPr>
        <w:t>المآلات</w:t>
      </w:r>
      <w:proofErr w:type="spellEnd"/>
      <w:r w:rsidRPr="00247415">
        <w:rPr>
          <w:rFonts w:ascii="Traditional Arabic" w:hAnsi="Traditional Arabic" w:cs="Traditional Arabic" w:hint="cs"/>
          <w:sz w:val="36"/>
          <w:szCs w:val="36"/>
          <w:rtl/>
        </w:rPr>
        <w:t xml:space="preserve"> المترتبة على ممارسة هذا الحق، حتى لا يترتب على إطلاق الحق في ذلك </w:t>
      </w:r>
      <w:proofErr w:type="spellStart"/>
      <w:r w:rsidRPr="00247415">
        <w:rPr>
          <w:rFonts w:ascii="Traditional Arabic" w:hAnsi="Traditional Arabic" w:cs="Traditional Arabic" w:hint="cs"/>
          <w:sz w:val="36"/>
          <w:szCs w:val="36"/>
          <w:rtl/>
        </w:rPr>
        <w:t>مآلات</w:t>
      </w:r>
      <w:proofErr w:type="spellEnd"/>
      <w:r w:rsidRPr="00247415">
        <w:rPr>
          <w:rFonts w:ascii="Traditional Arabic" w:hAnsi="Traditional Arabic" w:cs="Traditional Arabic" w:hint="cs"/>
          <w:sz w:val="36"/>
          <w:szCs w:val="36"/>
          <w:rtl/>
        </w:rPr>
        <w:t xml:space="preserve"> ممنوعة تتمثل في الأضرار المتوقعة نتيجة ممارسة هذا الحق؛  ويكون فيه مساس بالمصلحة العامة، أو يترتب عليها أضرار تلحق بالغير، وهو ما يعبر عنه فقه التّوقّع، في الإفضاء المتوقع؛ نتيجة ممارسة حق الملكية بشكل مطلق دون قيد، اعتباراً للمصالح والحقوق المرتبطة بهذا الحق لكلا الطرفين. </w:t>
      </w:r>
    </w:p>
    <w:p w:rsidR="002630D2" w:rsidRPr="00247415" w:rsidRDefault="002630D2" w:rsidP="00247415">
      <w:pPr>
        <w:bidi/>
        <w:rPr>
          <w:rFonts w:ascii="Traditional Arabic" w:hAnsi="Traditional Arabic" w:cs="Traditional Arabic"/>
          <w:sz w:val="36"/>
          <w:szCs w:val="36"/>
        </w:rPr>
      </w:pPr>
    </w:p>
    <w:sectPr w:rsidR="002630D2" w:rsidRPr="00247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EA" w:rsidRDefault="001178EA" w:rsidP="00247415">
      <w:pPr>
        <w:spacing w:after="0" w:line="240" w:lineRule="auto"/>
      </w:pPr>
      <w:r>
        <w:separator/>
      </w:r>
    </w:p>
  </w:endnote>
  <w:endnote w:type="continuationSeparator" w:id="0">
    <w:p w:rsidR="001178EA" w:rsidRDefault="001178EA" w:rsidP="0024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EA" w:rsidRDefault="001178EA" w:rsidP="00247415">
      <w:pPr>
        <w:spacing w:after="0" w:line="240" w:lineRule="auto"/>
      </w:pPr>
      <w:r>
        <w:separator/>
      </w:r>
    </w:p>
  </w:footnote>
  <w:footnote w:type="continuationSeparator" w:id="0">
    <w:p w:rsidR="001178EA" w:rsidRDefault="001178EA" w:rsidP="00247415">
      <w:pPr>
        <w:spacing w:after="0" w:line="240" w:lineRule="auto"/>
      </w:pPr>
      <w:r>
        <w:continuationSeparator/>
      </w:r>
    </w:p>
  </w:footnote>
  <w:footnote w:id="1">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أخرجه البخاري، محمد بن إسماعيل،</w:t>
      </w:r>
      <w:r w:rsidRPr="00247415">
        <w:rPr>
          <w:rFonts w:ascii="Traditional Arabic" w:hAnsi="Traditional Arabic" w:cs="Traditional Arabic"/>
          <w:b/>
          <w:bCs/>
          <w:sz w:val="28"/>
          <w:szCs w:val="28"/>
          <w:rtl/>
        </w:rPr>
        <w:t xml:space="preserve"> صحيح البخاري</w:t>
      </w:r>
      <w:r w:rsidRPr="00247415">
        <w:rPr>
          <w:rFonts w:ascii="Traditional Arabic" w:hAnsi="Traditional Arabic" w:cs="Traditional Arabic"/>
          <w:sz w:val="28"/>
          <w:szCs w:val="28"/>
          <w:rtl/>
        </w:rPr>
        <w:t>، مرجع سابق، ص23، 2/69، حديث رقم: 2039.</w:t>
      </w:r>
    </w:p>
  </w:footnote>
  <w:footnote w:id="2">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سورة المائدة، الآية: رقم5.</w:t>
      </w:r>
    </w:p>
  </w:footnote>
  <w:footnote w:id="3">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انظر: ابن قدامة، ، أبو محمد، عبد الله بن أحمد بن محمد، </w:t>
      </w:r>
      <w:r w:rsidRPr="00247415">
        <w:rPr>
          <w:rFonts w:ascii="Traditional Arabic" w:hAnsi="Traditional Arabic" w:cs="Traditional Arabic"/>
          <w:b/>
          <w:bCs/>
          <w:sz w:val="28"/>
          <w:szCs w:val="28"/>
          <w:rtl/>
        </w:rPr>
        <w:t>المغني</w:t>
      </w:r>
      <w:r w:rsidRPr="00247415">
        <w:rPr>
          <w:rFonts w:ascii="Traditional Arabic" w:hAnsi="Traditional Arabic" w:cs="Traditional Arabic"/>
          <w:sz w:val="28"/>
          <w:szCs w:val="28"/>
          <w:rtl/>
        </w:rPr>
        <w:t>، مرجع سابق، ص99، 9/45.</w:t>
      </w:r>
    </w:p>
  </w:footnote>
  <w:footnote w:id="4">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أخرجه البيهقي، أحمد بن الحسين بن علي بن موسى، </w:t>
      </w:r>
      <w:r w:rsidRPr="00247415">
        <w:rPr>
          <w:rFonts w:ascii="Traditional Arabic" w:hAnsi="Traditional Arabic" w:cs="Traditional Arabic"/>
          <w:b/>
          <w:bCs/>
          <w:sz w:val="28"/>
          <w:szCs w:val="28"/>
          <w:rtl/>
        </w:rPr>
        <w:t xml:space="preserve"> السنن الكبرى</w:t>
      </w:r>
      <w:r w:rsidRPr="00247415">
        <w:rPr>
          <w:rFonts w:ascii="Traditional Arabic" w:hAnsi="Traditional Arabic" w:cs="Traditional Arabic"/>
          <w:sz w:val="28"/>
          <w:szCs w:val="28"/>
          <w:rtl/>
        </w:rPr>
        <w:t>، باب جماع أبواب نكاح حرائر أهل الكتاب</w:t>
      </w:r>
      <w:r w:rsidRPr="00247415">
        <w:rPr>
          <w:rFonts w:ascii="Traditional Arabic" w:hAnsi="Traditional Arabic" w:cs="Traditional Arabic"/>
          <w:b/>
          <w:bCs/>
          <w:sz w:val="28"/>
          <w:szCs w:val="28"/>
          <w:rtl/>
        </w:rPr>
        <w:t xml:space="preserve">، </w:t>
      </w:r>
      <w:r w:rsidRPr="00247415">
        <w:rPr>
          <w:rFonts w:ascii="Traditional Arabic" w:hAnsi="Traditional Arabic" w:cs="Traditional Arabic"/>
          <w:sz w:val="28"/>
          <w:szCs w:val="28"/>
          <w:rtl/>
        </w:rPr>
        <w:t>مرجع سابق، 92، 7/280. حديث رقم: 13985.</w:t>
      </w:r>
    </w:p>
  </w:footnote>
  <w:footnote w:id="5">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ذكر القرطبي في تفسيره 3/68: "ما وري عن عمر أنه فرق بين طلحة بن عبيد الله، وحذيفة بن اليمان وبين كتابيتين، وقال: نطلق يا أمير المؤمنين، ولا تغضب، فقال: لو جاز طلاقكما لجاز نكاحكما، ولكن أفرق بينكما صغرة قمأة –أي صاغرين- قال بان عطية؛ وهذا لا يستند". وفي تفسير ابن كثير 1/376، "أن هذا الأثر عن عمر غريب"، وفي ذلك ما يدل على ان ابن عطية، وتبعه القرطبي، وأكد قولهما ابن كثير في أن ما نسب إلى عمر من تحريم نكاح الكتابيات لا يستقيم له سند، وإنما الذي ظهرت قوته من آثار عن عمر، إنما هي التي تدل على أنه يحل زواج الكتابيات، وأنه عندما حذر منه كان لخشيته على نساء المسلمين،، ولخوفه على أزواج الكتابيات من المسلمين أن يقعن في زوجات ربما لا يرعين للحرمات عهدا، وبخاصة في مكانة ذات تأثير على دولة الإسلام، مثل: طلحة، وحذيفة رضي الله عنهما.</w:t>
      </w:r>
    </w:p>
  </w:footnote>
  <w:footnote w:id="6">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انظر: بلتاجي، د. محمد، </w:t>
      </w:r>
      <w:r w:rsidRPr="00247415">
        <w:rPr>
          <w:rFonts w:ascii="Traditional Arabic" w:hAnsi="Traditional Arabic" w:cs="Traditional Arabic"/>
          <w:b/>
          <w:bCs/>
          <w:sz w:val="28"/>
          <w:szCs w:val="28"/>
          <w:rtl/>
        </w:rPr>
        <w:t>منهج عمر بن الخطاب في التشريع</w:t>
      </w:r>
      <w:r w:rsidRPr="00247415">
        <w:rPr>
          <w:rFonts w:ascii="Traditional Arabic" w:hAnsi="Traditional Arabic" w:cs="Traditional Arabic"/>
          <w:sz w:val="28"/>
          <w:szCs w:val="28"/>
          <w:rtl/>
        </w:rPr>
        <w:t xml:space="preserve">، رسالة ماجستير، </w:t>
      </w:r>
      <w:proofErr w:type="spellStart"/>
      <w:r w:rsidRPr="00247415">
        <w:rPr>
          <w:rFonts w:ascii="Traditional Arabic" w:hAnsi="Traditional Arabic" w:cs="Traditional Arabic"/>
          <w:sz w:val="28"/>
          <w:szCs w:val="28"/>
          <w:rtl/>
        </w:rPr>
        <w:t>د.ط</w:t>
      </w:r>
      <w:proofErr w:type="spellEnd"/>
      <w:r w:rsidRPr="00247415">
        <w:rPr>
          <w:rFonts w:ascii="Traditional Arabic" w:hAnsi="Traditional Arabic" w:cs="Traditional Arabic"/>
          <w:sz w:val="28"/>
          <w:szCs w:val="28"/>
          <w:rtl/>
        </w:rPr>
        <w:t>، دار الفكر العربي، 1970، ص345، 346.</w:t>
      </w:r>
    </w:p>
  </w:footnote>
  <w:footnote w:id="7">
    <w:p w:rsidR="00247415" w:rsidRPr="00247415" w:rsidRDefault="00247415" w:rsidP="00247415">
      <w:pPr>
        <w:autoSpaceDE w:val="0"/>
        <w:autoSpaceDN w:val="0"/>
        <w:bidi/>
        <w:adjustRightInd w:val="0"/>
        <w:spacing w:after="0" w:line="240" w:lineRule="auto"/>
        <w:jc w:val="lowKashida"/>
        <w:rPr>
          <w:rFonts w:ascii="Traditional Arabic" w:hAnsi="Traditional Arabic" w:cs="Traditional Arabic"/>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انظر: السنوسي، عبد الرحمن بن معمر، </w:t>
      </w:r>
      <w:r w:rsidRPr="00247415">
        <w:rPr>
          <w:rFonts w:ascii="Traditional Arabic" w:hAnsi="Traditional Arabic" w:cs="Traditional Arabic"/>
          <w:b/>
          <w:bCs/>
          <w:sz w:val="28"/>
          <w:szCs w:val="28"/>
          <w:rtl/>
        </w:rPr>
        <w:t xml:space="preserve">اعتبار </w:t>
      </w:r>
      <w:proofErr w:type="spellStart"/>
      <w:r w:rsidRPr="00247415">
        <w:rPr>
          <w:rFonts w:ascii="Traditional Arabic" w:hAnsi="Traditional Arabic" w:cs="Traditional Arabic"/>
          <w:b/>
          <w:bCs/>
          <w:sz w:val="28"/>
          <w:szCs w:val="28"/>
          <w:rtl/>
        </w:rPr>
        <w:t>المآلات</w:t>
      </w:r>
      <w:proofErr w:type="spellEnd"/>
      <w:r w:rsidRPr="00247415">
        <w:rPr>
          <w:rFonts w:ascii="Traditional Arabic" w:hAnsi="Traditional Arabic" w:cs="Traditional Arabic"/>
          <w:b/>
          <w:bCs/>
          <w:sz w:val="28"/>
          <w:szCs w:val="28"/>
          <w:rtl/>
        </w:rPr>
        <w:t xml:space="preserve"> ومراعاة نتائج التصرفات</w:t>
      </w:r>
      <w:r w:rsidRPr="00247415">
        <w:rPr>
          <w:rFonts w:ascii="Traditional Arabic" w:hAnsi="Traditional Arabic" w:cs="Traditional Arabic"/>
          <w:sz w:val="28"/>
          <w:szCs w:val="28"/>
          <w:rtl/>
        </w:rPr>
        <w:t>، مرجع سابق،</w:t>
      </w:r>
      <w:r w:rsidRPr="00247415">
        <w:rPr>
          <w:rFonts w:ascii="Traditional Arabic" w:hAnsi="Traditional Arabic" w:cs="Traditional Arabic"/>
          <w:b/>
          <w:bCs/>
          <w:sz w:val="28"/>
          <w:szCs w:val="28"/>
          <w:rtl/>
        </w:rPr>
        <w:t xml:space="preserve"> </w:t>
      </w:r>
      <w:r w:rsidRPr="00247415">
        <w:rPr>
          <w:rFonts w:ascii="Traditional Arabic" w:hAnsi="Traditional Arabic" w:cs="Traditional Arabic"/>
          <w:sz w:val="28"/>
          <w:szCs w:val="28"/>
          <w:rtl/>
        </w:rPr>
        <w:t>ص61، ص 80.</w:t>
      </w:r>
    </w:p>
  </w:footnote>
  <w:footnote w:id="8">
    <w:p w:rsidR="00247415" w:rsidRPr="00725ED0" w:rsidRDefault="00247415" w:rsidP="00247415">
      <w:pPr>
        <w:autoSpaceDE w:val="0"/>
        <w:autoSpaceDN w:val="0"/>
        <w:bidi/>
        <w:adjustRightInd w:val="0"/>
        <w:spacing w:after="0" w:line="240" w:lineRule="auto"/>
        <w:jc w:val="lowKashida"/>
        <w:rPr>
          <w:sz w:val="28"/>
          <w:szCs w:val="28"/>
        </w:rPr>
      </w:pPr>
      <w:r w:rsidRPr="00247415">
        <w:rPr>
          <w:rFonts w:ascii="Traditional Arabic" w:hAnsi="Traditional Arabic" w:cs="Traditional Arabic"/>
          <w:sz w:val="28"/>
          <w:szCs w:val="28"/>
          <w:vertAlign w:val="superscript"/>
          <w:rtl/>
        </w:rPr>
        <w:t>(</w:t>
      </w:r>
      <w:r w:rsidRPr="00247415">
        <w:rPr>
          <w:rStyle w:val="a3"/>
          <w:rFonts w:ascii="Traditional Arabic" w:hAnsi="Traditional Arabic"/>
          <w:sz w:val="28"/>
          <w:szCs w:val="28"/>
        </w:rPr>
        <w:footnoteRef/>
      </w:r>
      <w:r w:rsidRPr="00247415">
        <w:rPr>
          <w:rFonts w:ascii="Traditional Arabic" w:hAnsi="Traditional Arabic" w:cs="Traditional Arabic"/>
          <w:sz w:val="28"/>
          <w:szCs w:val="28"/>
          <w:vertAlign w:val="superscript"/>
          <w:rtl/>
        </w:rPr>
        <w:t xml:space="preserve">) </w:t>
      </w:r>
      <w:r w:rsidRPr="00247415">
        <w:rPr>
          <w:rFonts w:ascii="Traditional Arabic" w:hAnsi="Traditional Arabic" w:cs="Traditional Arabic"/>
          <w:sz w:val="28"/>
          <w:szCs w:val="28"/>
          <w:rtl/>
        </w:rPr>
        <w:t xml:space="preserve"> ابن عبد البر، أبو عمر يوسف بن عبد الله، </w:t>
      </w:r>
      <w:r w:rsidRPr="00247415">
        <w:rPr>
          <w:rFonts w:ascii="Traditional Arabic" w:hAnsi="Traditional Arabic" w:cs="Traditional Arabic"/>
          <w:b/>
          <w:bCs/>
          <w:sz w:val="28"/>
          <w:szCs w:val="28"/>
          <w:rtl/>
        </w:rPr>
        <w:t>التمهيد</w:t>
      </w:r>
      <w:r w:rsidRPr="00247415">
        <w:rPr>
          <w:rFonts w:ascii="Traditional Arabic" w:hAnsi="Traditional Arabic" w:cs="Traditional Arabic"/>
          <w:sz w:val="28"/>
          <w:szCs w:val="28"/>
          <w:rtl/>
        </w:rPr>
        <w:t>، مرجع سابق، ص59، 20</w:t>
      </w:r>
      <w:r w:rsidRPr="00725ED0">
        <w:rPr>
          <w:rFonts w:hint="cs"/>
          <w:sz w:val="28"/>
          <w:szCs w:val="28"/>
          <w:rtl/>
        </w:rPr>
        <w:t xml:space="preserve">/160، 161.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5D34"/>
    <w:multiLevelType w:val="hybridMultilevel"/>
    <w:tmpl w:val="F4E47C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5"/>
    <w:rsid w:val="001178EA"/>
    <w:rsid w:val="00247415"/>
    <w:rsid w:val="00263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47415"/>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47415"/>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768</Words>
  <Characters>4378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2021-05-29T17:41:00Z</dcterms:created>
  <dcterms:modified xsi:type="dcterms:W3CDTF">2021-05-29T17:45:00Z</dcterms:modified>
</cp:coreProperties>
</file>