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29" w:rsidRDefault="002E5229" w:rsidP="002E5229">
      <w:pPr>
        <w:spacing w:after="0" w:line="240" w:lineRule="auto"/>
        <w:ind w:right="173" w:firstLine="619"/>
        <w:jc w:val="center"/>
        <w:rPr>
          <w:rFonts w:ascii="Traditional Arabic" w:hAnsi="Traditional Arabic" w:hint="cs"/>
          <w:b/>
          <w:bCs/>
          <w:sz w:val="36"/>
          <w:rtl/>
        </w:rPr>
      </w:pPr>
      <w:r>
        <w:rPr>
          <w:rFonts w:ascii="Traditional Arabic" w:hAnsi="Traditional Arabic" w:hint="cs"/>
          <w:b/>
          <w:bCs/>
          <w:sz w:val="36"/>
          <w:rtl/>
        </w:rPr>
        <w:t xml:space="preserve">آثار الحسبة السياسية تجاه المحكوم: </w:t>
      </w:r>
      <w:r w:rsidRPr="007B3A75">
        <w:rPr>
          <w:rFonts w:ascii="Traditional Arabic" w:hAnsi="Traditional Arabic" w:hint="cs"/>
          <w:b/>
          <w:bCs/>
          <w:sz w:val="36"/>
          <w:rtl/>
        </w:rPr>
        <w:t>زيادة الوعي السياسي لأفراد المجتمع</w:t>
      </w:r>
    </w:p>
    <w:p w:rsidR="007072AD" w:rsidRPr="00105ECE" w:rsidRDefault="007072AD" w:rsidP="007072AD">
      <w:pPr>
        <w:bidi w:val="0"/>
        <w:spacing w:after="0" w:line="240" w:lineRule="auto"/>
        <w:ind w:right="173" w:firstLine="619"/>
        <w:jc w:val="center"/>
        <w:rPr>
          <w:rFonts w:ascii="Traditional Arabic" w:eastAsia="Times New Roman" w:hAnsi="Traditional Arabic"/>
          <w:sz w:val="36"/>
          <w:rtl/>
        </w:rPr>
      </w:pPr>
      <w:r w:rsidRPr="00105ECE">
        <w:rPr>
          <w:rFonts w:ascii="Traditional Arabic" w:eastAsia="Times New Roman" w:hAnsi="Traditional Arabic"/>
          <w:b/>
          <w:bCs/>
          <w:sz w:val="36"/>
          <w:rtl/>
        </w:rPr>
        <w:t>تقديم: د. مجدي عبد العظيم إبراهيم</w:t>
      </w:r>
    </w:p>
    <w:p w:rsidR="007072AD" w:rsidRPr="007B3A75" w:rsidRDefault="007072AD" w:rsidP="002E5229">
      <w:pPr>
        <w:spacing w:after="0" w:line="240" w:lineRule="auto"/>
        <w:ind w:right="173" w:firstLine="619"/>
        <w:jc w:val="center"/>
        <w:rPr>
          <w:rFonts w:ascii="Traditional Arabic" w:hAnsi="Traditional Arabic"/>
          <w:b/>
          <w:bCs/>
          <w:sz w:val="36"/>
          <w:rtl/>
        </w:rPr>
      </w:pPr>
      <w:bookmarkStart w:id="0" w:name="_GoBack"/>
      <w:bookmarkEnd w:id="0"/>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إن الحسبة السياسية وتطبيقها تنطلق من قاعدة عظيمة وهي أصل من أصول الدين ألا وهي الأمر بكل ما هو معروف </w:t>
      </w:r>
      <w:proofErr w:type="spellStart"/>
      <w:r>
        <w:rPr>
          <w:rFonts w:ascii="Traditional Arabic" w:hAnsi="Traditional Arabic" w:hint="cs"/>
          <w:sz w:val="36"/>
          <w:rtl/>
        </w:rPr>
        <w:t>والإنتهاء</w:t>
      </w:r>
      <w:proofErr w:type="spellEnd"/>
      <w:r>
        <w:rPr>
          <w:rFonts w:ascii="Traditional Arabic" w:hAnsi="Traditional Arabic" w:hint="cs"/>
          <w:sz w:val="36"/>
          <w:rtl/>
        </w:rPr>
        <w:t xml:space="preserve"> عن كل ما هو منكر، وبهذه القاعدة الشرعية كان الأساس في بناء المجتمع الإسلامي وإدارته وتنظيمه في جميع مناحي الحياة.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فالدين الإسلامي بقواعده وأحكامه كان الإطار العام الذي ينظم بداخله كل معطيات ومستلزمات الحياة لكل من الرعية وهم أساس المجتمع وبنائه والراعي باعتباره المسؤول والمنفذ لكل السياسات التي توجه لخدمة هؤلاء الرعية وفق إطار الشرع الحنيف، والدولة التي هي بمثابة الكيان الاعتباري الممثل لهيبة الدين الإسلامي.  فكا</w:t>
      </w:r>
      <w:r w:rsidRPr="00A73536">
        <w:rPr>
          <w:rFonts w:ascii="Traditional Arabic" w:hAnsi="Traditional Arabic" w:hint="cs"/>
          <w:sz w:val="36"/>
          <w:rtl/>
        </w:rPr>
        <w:t xml:space="preserve">نت </w:t>
      </w:r>
      <w:r>
        <w:rPr>
          <w:rFonts w:ascii="Traditional Arabic" w:hAnsi="Traditional Arabic" w:hint="cs"/>
          <w:sz w:val="36"/>
          <w:rtl/>
        </w:rPr>
        <w:t xml:space="preserve">الحسبة السياسية لها أثر تجاه الراعي والرعية والدولة، وما يهمنا في هذا المقام هو أثر الحسبة السياسية تجاه الرعية أو المحكومين.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فإن أثر ممارسة الحسبة السياسية يوجد الوعي السياسي لدى أفراد المجتمع مما يعني ذلك إدراكهم لمشكلاتهم ومواطن الضعف وعلاجها ومعرفتهم بالقوى الفاعلة والمؤثرة في </w:t>
      </w:r>
      <w:proofErr w:type="spellStart"/>
      <w:r>
        <w:rPr>
          <w:rFonts w:ascii="Traditional Arabic" w:hAnsi="Traditional Arabic" w:hint="cs"/>
          <w:sz w:val="36"/>
          <w:rtl/>
        </w:rPr>
        <w:t>إتخاذ</w:t>
      </w:r>
      <w:proofErr w:type="spellEnd"/>
      <w:r>
        <w:rPr>
          <w:rFonts w:ascii="Traditional Arabic" w:hAnsi="Traditional Arabic" w:hint="cs"/>
          <w:sz w:val="36"/>
          <w:rtl/>
        </w:rPr>
        <w:t xml:space="preserve"> القرار والتفاعل معها من أجل رعاية الأمة ومصالح أفرادها، ودفع كل المفاسد والمنكرات عنها.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فزيادة مؤشر الوعي السياسي لدى المجتمع يتيح له ملاحقة التغيرات والتطورات التي تجري على الساحة السياسية ومعرفة التداعيات التي من الممكن أن تترتب بناء على كل التغيرات السياسية التي تحدث من حوله وكيفية مواجهتها وحماية دينه ومجتمعه وهويته من أي تغييرات أو تأثيرات تمس دينه وعقيدته، وبل وتتيح له </w:t>
      </w:r>
      <w:proofErr w:type="spellStart"/>
      <w:r>
        <w:rPr>
          <w:rFonts w:ascii="Traditional Arabic" w:hAnsi="Traditional Arabic" w:hint="cs"/>
          <w:sz w:val="36"/>
          <w:rtl/>
        </w:rPr>
        <w:t>إتخاذ</w:t>
      </w:r>
      <w:proofErr w:type="spellEnd"/>
      <w:r>
        <w:rPr>
          <w:rFonts w:ascii="Traditional Arabic" w:hAnsi="Traditional Arabic" w:hint="cs"/>
          <w:sz w:val="36"/>
          <w:rtl/>
        </w:rPr>
        <w:t xml:space="preserve"> خطوات مسبقة في مواجهة أي تداعيات يكون لها أثر سلبي عليه.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وهذا يستلزم الاهتمام بوضع مناهج لإعداد الكوادر الإسلامية الواعية وخاصة كادر الشباب لأنهم مستقبل الأمة وتوفير برامج ذو طبيعة سياسية تؤهل فرص للتدريب والتطوير، وعقد الدورات والندوات التي تزيد وتصقل هذا الوعي بما يخدم صالح الدين ويعمق أثره في النفوس. </w:t>
      </w:r>
      <w:r>
        <w:rPr>
          <w:rFonts w:hint="cs"/>
          <w:rtl/>
        </w:rPr>
        <w:t xml:space="preserve">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 xml:space="preserve"> فلابد أن يكون للفرد أو الأمة دور في مواجهة كل المفاسد والمنكرات التي تقع في حق الأمة ومواجهتها وعدم الاكتفاء بأي تصرفات أو ردود أفعال سلبية وعدم القيام بأي دور أو واجب تجاه </w:t>
      </w:r>
      <w:r>
        <w:rPr>
          <w:rFonts w:ascii="Traditional Arabic" w:hAnsi="Traditional Arabic" w:hint="cs"/>
          <w:sz w:val="36"/>
          <w:rtl/>
        </w:rPr>
        <w:lastRenderedPageBreak/>
        <w:t xml:space="preserve">حفظ وصيانة هذا الدين، وإلا فكيف سيقام شرع الله ويطبق دون أن يكون هناك خطوات وجهود لإقامته وتطبيقه والحفاظ عليه.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فامتداد الحسبة السياسية إلى غمار الحياة وتطبيقها يعد أمثل تطبيق لما أوصانا به الدين الإسلامي، فلم تكن قواعده وأحكامه التي فرضها الله سبحانه وتعالى لمجرد التناصح فقط بل هي أيضًا لحكم وتنظيم مجالات الحياة عامة في شؤون الدولة والعباد بما يكفل حفظ وإعلاء شأن هذا الدين. </w:t>
      </w:r>
    </w:p>
    <w:p w:rsidR="002E5229" w:rsidRDefault="002E5229" w:rsidP="002E5229">
      <w:pPr>
        <w:spacing w:after="0" w:line="240" w:lineRule="auto"/>
        <w:ind w:right="173" w:firstLine="619"/>
        <w:jc w:val="lowKashida"/>
        <w:rPr>
          <w:sz w:val="36"/>
          <w:rtl/>
        </w:rPr>
      </w:pPr>
      <w:r>
        <w:rPr>
          <w:rFonts w:ascii="Traditional Arabic" w:hAnsi="Traditional Arabic" w:hint="cs"/>
          <w:sz w:val="36"/>
          <w:rtl/>
        </w:rPr>
        <w:t xml:space="preserve">مما يتطلب دورًا هامًا من قبل أفراد هذه الأمة في ممارسة جميع الحقوق المكفولة لهم في تأكيد كل ما هو معروف وإنكار كل ما هو منكر وجاء النص عليها في كتاب الله العزيز وسنه نبيه الكريم في السؤال والمراقبة والتحقيق في كل ما هو من شأنه فيه مساس بتعاليم وقواعد هذا الدين، فقد ورد في كتاب الله: </w:t>
      </w:r>
      <w:r>
        <w:rPr>
          <w:rFonts w:ascii="QCF_BSML" w:hAnsi="QCF_BSML" w:cs="QCF_BSML"/>
          <w:color w:val="008000"/>
          <w:sz w:val="30"/>
          <w:szCs w:val="30"/>
          <w:rtl/>
        </w:rPr>
        <w:t>(</w:t>
      </w:r>
      <w:r>
        <w:rPr>
          <w:rFonts w:ascii="QCF_P064" w:hAnsi="QCF_P064" w:cs="QCF_P064"/>
          <w:color w:val="008000"/>
          <w:sz w:val="30"/>
          <w:szCs w:val="30"/>
          <w:rtl/>
        </w:rPr>
        <w:t>ﭞ ﭟ ﭠ ﭡ ﭢ ﭣ ﭤ ﭥ ﭦ ﭧ ﭨ ﭩ ﭪ ﭫ ﭬ ﭭ ﭮ ﭯ ﭰ ﭱ ﭲ ﭳ ﭴ ﭵ ﭶ</w:t>
      </w:r>
      <w:r>
        <w:rPr>
          <w:rFonts w:ascii="QCF_BSML" w:hAnsi="QCF_BSML" w:cs="QCF_BSML"/>
          <w:color w:val="008000"/>
          <w:sz w:val="30"/>
          <w:szCs w:val="30"/>
          <w:rtl/>
        </w:rPr>
        <w:t>)</w:t>
      </w:r>
      <w:r w:rsidRPr="003129A4">
        <w:rPr>
          <w:rFonts w:hint="cs"/>
          <w:sz w:val="36"/>
          <w:vertAlign w:val="superscript"/>
          <w:rtl/>
        </w:rPr>
        <w:t>(</w:t>
      </w:r>
      <w:r w:rsidRPr="003129A4">
        <w:rPr>
          <w:rStyle w:val="a4"/>
          <w:rtl/>
        </w:rPr>
        <w:footnoteReference w:id="1"/>
      </w:r>
      <w:r w:rsidRPr="003129A4">
        <w:rPr>
          <w:rFonts w:hint="cs"/>
          <w:sz w:val="36"/>
          <w:vertAlign w:val="superscript"/>
          <w:rtl/>
        </w:rPr>
        <w:t>)</w:t>
      </w:r>
      <w:r>
        <w:rPr>
          <w:rFonts w:ascii="QCF_BSML" w:hAnsi="QCF_BSML" w:cs="QCF_BSML"/>
          <w:color w:val="008000"/>
          <w:sz w:val="30"/>
          <w:szCs w:val="30"/>
          <w:rtl/>
        </w:rPr>
        <w:t xml:space="preserve">   </w:t>
      </w:r>
      <w:r w:rsidRPr="0015254B">
        <w:rPr>
          <w:rFonts w:hint="cs"/>
          <w:sz w:val="36"/>
          <w:rtl/>
        </w:rPr>
        <w:t>.</w:t>
      </w:r>
      <w:r>
        <w:rPr>
          <w:rFonts w:hint="cs"/>
          <w:sz w:val="36"/>
          <w:rtl/>
        </w:rPr>
        <w:t xml:space="preserve"> </w:t>
      </w:r>
    </w:p>
    <w:p w:rsidR="002E5229" w:rsidRDefault="002E5229" w:rsidP="002E5229">
      <w:pPr>
        <w:spacing w:after="0" w:line="240" w:lineRule="auto"/>
        <w:ind w:right="173" w:firstLine="619"/>
        <w:jc w:val="lowKashida"/>
        <w:rPr>
          <w:rFonts w:ascii="Traditional Arabic" w:hAnsi="Traditional Arabic"/>
          <w:sz w:val="36"/>
          <w:rtl/>
        </w:rPr>
      </w:pPr>
      <w:r>
        <w:rPr>
          <w:rFonts w:hint="cs"/>
          <w:sz w:val="36"/>
          <w:rtl/>
        </w:rPr>
        <w:t xml:space="preserve">كذلك ورد </w:t>
      </w:r>
      <w:r>
        <w:rPr>
          <w:rFonts w:ascii="Traditional Arabic" w:hAnsi="Traditional Arabic" w:hint="cs"/>
          <w:sz w:val="36"/>
          <w:rtl/>
        </w:rPr>
        <w:t>عن رسول الله صلى الله عليه وسلم: "من رأى منكم منكرًا فليغيره بيده، فإن لم يستطع فبلسانه، فإن لم يستطع فبقلبه، وذلك أضعف الإيمان"</w:t>
      </w:r>
      <w:r w:rsidRPr="003129A4">
        <w:rPr>
          <w:rFonts w:hint="cs"/>
          <w:sz w:val="36"/>
          <w:vertAlign w:val="superscript"/>
          <w:rtl/>
        </w:rPr>
        <w:t>(</w:t>
      </w:r>
      <w:r w:rsidRPr="003129A4">
        <w:rPr>
          <w:rStyle w:val="a4"/>
          <w:rtl/>
        </w:rPr>
        <w:footnoteReference w:id="2"/>
      </w:r>
      <w:r w:rsidRPr="003129A4">
        <w:rPr>
          <w:rFonts w:hint="cs"/>
          <w:sz w:val="36"/>
          <w:vertAlign w:val="superscript"/>
          <w:rtl/>
        </w:rPr>
        <w:t>)</w:t>
      </w:r>
      <w:r>
        <w:rPr>
          <w:rFonts w:ascii="Traditional Arabic" w:hAnsi="Traditional Arabic" w:hint="cs"/>
          <w:sz w:val="36"/>
          <w:rtl/>
        </w:rPr>
        <w:t>، وقوله صلى الله عليه وسلم: "إنه يستعمل عليكم أمراء فتعرفون وتنكرون، فمن كره فقد برئ، ومن أنكر فقد سلم، ولكن من رضي وتابع"</w:t>
      </w:r>
      <w:r w:rsidRPr="003129A4">
        <w:rPr>
          <w:rFonts w:hint="cs"/>
          <w:sz w:val="36"/>
          <w:vertAlign w:val="superscript"/>
          <w:rtl/>
        </w:rPr>
        <w:t>(</w:t>
      </w:r>
      <w:r w:rsidRPr="003129A4">
        <w:rPr>
          <w:rStyle w:val="a4"/>
          <w:rtl/>
        </w:rPr>
        <w:footnoteReference w:id="3"/>
      </w:r>
      <w:r w:rsidRPr="003129A4">
        <w:rPr>
          <w:rFonts w:hint="cs"/>
          <w:sz w:val="36"/>
          <w:vertAlign w:val="superscript"/>
          <w:rtl/>
        </w:rPr>
        <w:t>)</w:t>
      </w:r>
      <w:r>
        <w:rPr>
          <w:rFonts w:ascii="Traditional Arabic" w:hAnsi="Traditional Arabic" w:hint="cs"/>
          <w:sz w:val="36"/>
          <w:rtl/>
        </w:rPr>
        <w:t xml:space="preserve">.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ويفهم من ذلك أنه هناك واجب يقع على عاتق الأمة ممثلاً في أفرادها بمواجهة كل المنكرات الواقعة وكيفية هذه المواجهة التي تتنافى مع سلوكيات النصح والإرشاد فقط أو التقاعس أو السلبية التي يتسم بها بعض أفراد المجتمع، مما ينتج عن ذلك زيادة الوعي وسقف التفكير لدى أفراد المجتمع بحجم مسؤوليتهم تجاه مجتمعهم ودينهم.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كذلك نجد أن هذا الأثر له انعكاس في غاية الأهمية فهو مرتبط ارتباط وثيق بتحقق أسمى مبادئ العدالة والمساواة وحفظ حقوق وكرامة الإنسان في وجود دولة تقوم على المؤسسات وليست دولة شخص أو حزب أو نظام، فتكون هناك المؤسسات التنفيذية والتشريعية والقضائية كل في مجاله يقف الشرع منها  على مسافة واحدة، فلا تطغى سلطة على سلطة بوعي أفراد مجتمعها.</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lastRenderedPageBreak/>
        <w:tab/>
        <w:t xml:space="preserve">وعلى عكس ما سبق فإنه في ظل تهميش الحسبة السياسية وغياب الحكم الإسلامي </w:t>
      </w:r>
      <w:proofErr w:type="spellStart"/>
      <w:r>
        <w:rPr>
          <w:rFonts w:ascii="Traditional Arabic" w:hAnsi="Traditional Arabic" w:hint="cs"/>
          <w:sz w:val="36"/>
          <w:rtl/>
        </w:rPr>
        <w:t>وثوابته</w:t>
      </w:r>
      <w:proofErr w:type="spellEnd"/>
      <w:r>
        <w:rPr>
          <w:rFonts w:ascii="Traditional Arabic" w:hAnsi="Traditional Arabic" w:hint="cs"/>
          <w:sz w:val="36"/>
          <w:rtl/>
        </w:rPr>
        <w:t xml:space="preserve"> على أرض الواقع يظهر لنا غياب هذا الوعي وإدراك مدى الخطورة التي يتعرض لها المجتمع الإسلامي وتفشي المنكرات وظهور الفساد.</w:t>
      </w:r>
    </w:p>
    <w:p w:rsidR="002E5229" w:rsidRDefault="002E5229" w:rsidP="002E5229">
      <w:pPr>
        <w:spacing w:after="0" w:line="240" w:lineRule="auto"/>
        <w:ind w:right="173" w:firstLine="619"/>
        <w:jc w:val="both"/>
        <w:rPr>
          <w:rFonts w:ascii="بدر" w:hAnsi="بدر"/>
          <w:sz w:val="36"/>
          <w:rtl/>
        </w:rPr>
      </w:pPr>
      <w:r>
        <w:rPr>
          <w:rFonts w:ascii="Traditional Arabic" w:hAnsi="Traditional Arabic" w:hint="cs"/>
          <w:sz w:val="36"/>
          <w:rtl/>
        </w:rPr>
        <w:t xml:space="preserve">ولقد أشار إلى ذلك أكثر من مفكر إسلامي فمنهم من قال: </w:t>
      </w:r>
      <w:r>
        <w:rPr>
          <w:rFonts w:ascii="بدر" w:hAnsi="بدر" w:hint="cs"/>
          <w:sz w:val="36"/>
          <w:rtl/>
        </w:rPr>
        <w:t>"</w:t>
      </w:r>
      <w:r w:rsidRPr="00EE3ECB">
        <w:rPr>
          <w:rFonts w:ascii="بدر" w:hAnsi="بدر"/>
          <w:sz w:val="36"/>
          <w:rtl/>
        </w:rPr>
        <w:t>إن الفكر الإسلامي عند جمهرة المتدينين يتسم بالقصور البالغ، وإنهم يرون الفساد ولا يعرفون سببه، ويقرؤون التاريخ ولا يكشفون عبره ويقال لهم: كان لنا ماض عزيز فلا يعرفون سرّ هذه العزة، وانهزمنا في عصر كذا فلا يعرفون سبب هذه الكبوة</w:t>
      </w:r>
      <w:r>
        <w:rPr>
          <w:rFonts w:ascii="بدر" w:hAnsi="بدر" w:hint="cs"/>
          <w:sz w:val="36"/>
          <w:rtl/>
        </w:rPr>
        <w:t>"</w:t>
      </w:r>
      <w:r w:rsidRPr="003129A4">
        <w:rPr>
          <w:rFonts w:hint="cs"/>
          <w:sz w:val="36"/>
          <w:vertAlign w:val="superscript"/>
          <w:rtl/>
        </w:rPr>
        <w:t>(</w:t>
      </w:r>
      <w:r w:rsidRPr="003129A4">
        <w:rPr>
          <w:rStyle w:val="a4"/>
          <w:rtl/>
        </w:rPr>
        <w:footnoteReference w:id="4"/>
      </w:r>
      <w:r w:rsidRPr="003129A4">
        <w:rPr>
          <w:rFonts w:hint="cs"/>
          <w:sz w:val="36"/>
          <w:vertAlign w:val="superscript"/>
          <w:rtl/>
        </w:rPr>
        <w:t>)</w:t>
      </w:r>
      <w:r>
        <w:rPr>
          <w:rFonts w:ascii="بدر" w:hAnsi="بدر" w:hint="cs"/>
          <w:sz w:val="36"/>
          <w:rtl/>
        </w:rPr>
        <w:t>.</w:t>
      </w:r>
      <w:r>
        <w:rPr>
          <w:rFonts w:ascii="بدر" w:hAnsi="بدر" w:hint="cs"/>
          <w:sz w:val="36"/>
          <w:rtl/>
        </w:rPr>
        <w:tab/>
      </w:r>
    </w:p>
    <w:p w:rsidR="002E5229" w:rsidRDefault="002E5229" w:rsidP="002E5229">
      <w:pPr>
        <w:spacing w:after="0" w:line="240" w:lineRule="auto"/>
        <w:ind w:right="173" w:firstLine="619"/>
        <w:jc w:val="both"/>
        <w:rPr>
          <w:rFonts w:ascii="بدر" w:hAnsi="بدر"/>
          <w:sz w:val="36"/>
          <w:rtl/>
        </w:rPr>
      </w:pPr>
      <w:r>
        <w:rPr>
          <w:rFonts w:ascii="بدر" w:hAnsi="بدر" w:hint="cs"/>
          <w:sz w:val="36"/>
          <w:rtl/>
        </w:rPr>
        <w:tab/>
        <w:t xml:space="preserve">وقال آخر: </w:t>
      </w:r>
      <w:r>
        <w:rPr>
          <w:rFonts w:ascii="بدر" w:hAnsi="بدر" w:hint="cs"/>
          <w:sz w:val="28"/>
          <w:szCs w:val="28"/>
          <w:rtl/>
        </w:rPr>
        <w:t>"</w:t>
      </w:r>
      <w:r>
        <w:rPr>
          <w:rFonts w:ascii="بدر" w:hAnsi="بدر"/>
          <w:sz w:val="28"/>
          <w:szCs w:val="28"/>
        </w:rPr>
        <w:t xml:space="preserve"> </w:t>
      </w:r>
      <w:r w:rsidRPr="00BB270E">
        <w:rPr>
          <w:rFonts w:ascii="بدر" w:hAnsi="بدر"/>
          <w:sz w:val="36"/>
          <w:rtl/>
        </w:rPr>
        <w:t>إن غياب الوعي السياسي يعني اضطراب وتعثر شؤون الناس، وهو حالة شبيهة بفقدان الوزن وانعدام الرؤية، ونتيجته ضياع مصالح المسلمين، وتفاقم وتعاظم المفاسد بينهم وحولهم،</w:t>
      </w:r>
      <w:r>
        <w:rPr>
          <w:rFonts w:ascii="بدر" w:hAnsi="بدر" w:hint="cs"/>
          <w:sz w:val="36"/>
          <w:rtl/>
        </w:rPr>
        <w:t xml:space="preserve"> </w:t>
      </w:r>
      <w:r w:rsidRPr="00BB270E">
        <w:rPr>
          <w:rFonts w:ascii="بدر" w:hAnsi="بدر"/>
          <w:sz w:val="36"/>
          <w:rtl/>
        </w:rPr>
        <w:t>وبالتالي ضعفهم وانهيارهم وتعطل دورهم كأمة ظاهرة بين الأمم، آمرة بالمعروف، ناهية عن المنكر، شاهدة على الناس</w:t>
      </w:r>
      <w:r>
        <w:rPr>
          <w:rFonts w:ascii="بدر" w:hAnsi="بدر" w:hint="cs"/>
          <w:sz w:val="36"/>
          <w:rtl/>
        </w:rPr>
        <w:t>"</w:t>
      </w:r>
      <w:r w:rsidRPr="003129A4">
        <w:rPr>
          <w:rFonts w:hint="cs"/>
          <w:sz w:val="36"/>
          <w:vertAlign w:val="superscript"/>
          <w:rtl/>
        </w:rPr>
        <w:t>(</w:t>
      </w:r>
      <w:r w:rsidRPr="003129A4">
        <w:rPr>
          <w:rStyle w:val="a4"/>
          <w:rtl/>
        </w:rPr>
        <w:footnoteReference w:id="5"/>
      </w:r>
      <w:r w:rsidRPr="003129A4">
        <w:rPr>
          <w:rFonts w:hint="cs"/>
          <w:sz w:val="36"/>
          <w:vertAlign w:val="superscript"/>
          <w:rtl/>
        </w:rPr>
        <w:t>)</w:t>
      </w:r>
      <w:r>
        <w:rPr>
          <w:rFonts w:ascii="بدر" w:hAnsi="بدر" w:hint="cs"/>
          <w:sz w:val="36"/>
          <w:rtl/>
        </w:rPr>
        <w:t>.</w:t>
      </w:r>
      <w:r w:rsidRPr="00BB270E">
        <w:rPr>
          <w:rFonts w:ascii="بدر" w:hAnsi="بدر"/>
          <w:sz w:val="36"/>
          <w:rtl/>
        </w:rPr>
        <w:t xml:space="preserve"> </w:t>
      </w:r>
    </w:p>
    <w:p w:rsidR="002E5229" w:rsidRDefault="002E5229" w:rsidP="002E5229">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هذا هو أثر الحسبة السياسية التي تربي وعي ونفسية الفرد في المجتمع وتهذب سلوكه وفق إطار الشرع بمعرفة حدوده وتجنب محارمه وفهم واجباته تجاه دينه ومجتمعه. </w:t>
      </w:r>
    </w:p>
    <w:p w:rsidR="00EC6342" w:rsidRPr="002E5229" w:rsidRDefault="00EC6342">
      <w:pPr>
        <w:rPr>
          <w:rFonts w:ascii="Traditional Arabic" w:hAnsi="Traditional Arabic"/>
          <w:sz w:val="36"/>
        </w:rPr>
      </w:pPr>
    </w:p>
    <w:sectPr w:rsidR="00EC6342" w:rsidRPr="002E5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06" w:rsidRDefault="00637506" w:rsidP="002E5229">
      <w:pPr>
        <w:spacing w:after="0" w:line="240" w:lineRule="auto"/>
      </w:pPr>
      <w:r>
        <w:separator/>
      </w:r>
    </w:p>
  </w:endnote>
  <w:endnote w:type="continuationSeparator" w:id="0">
    <w:p w:rsidR="00637506" w:rsidRDefault="00637506" w:rsidP="002E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بدر">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06" w:rsidRDefault="00637506" w:rsidP="002E5229">
      <w:pPr>
        <w:spacing w:after="0" w:line="240" w:lineRule="auto"/>
      </w:pPr>
      <w:r>
        <w:separator/>
      </w:r>
    </w:p>
  </w:footnote>
  <w:footnote w:type="continuationSeparator" w:id="0">
    <w:p w:rsidR="00637506" w:rsidRDefault="00637506" w:rsidP="002E5229">
      <w:pPr>
        <w:spacing w:after="0" w:line="240" w:lineRule="auto"/>
      </w:pPr>
      <w:r>
        <w:continuationSeparator/>
      </w:r>
    </w:p>
  </w:footnote>
  <w:footnote w:id="1">
    <w:p w:rsidR="002E5229" w:rsidRPr="00832834" w:rsidRDefault="002E5229" w:rsidP="002E5229">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 سورة آل عمران، الآية: 110.</w:t>
      </w:r>
    </w:p>
  </w:footnote>
  <w:footnote w:id="2">
    <w:p w:rsidR="002E5229" w:rsidRPr="00832834" w:rsidRDefault="002E5229" w:rsidP="002E5229">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w:t>
      </w:r>
      <w:r w:rsidRPr="00A73B48">
        <w:rPr>
          <w:sz w:val="28"/>
          <w:szCs w:val="28"/>
          <w:rtl/>
        </w:rPr>
        <w:t>النيسابوري</w:t>
      </w:r>
      <w:r w:rsidRPr="006721F9">
        <w:rPr>
          <w:rFonts w:hint="cs"/>
          <w:sz w:val="28"/>
          <w:szCs w:val="28"/>
          <w:rtl/>
        </w:rPr>
        <w:t xml:space="preserve"> </w:t>
      </w:r>
      <w:r w:rsidRPr="00A73B48">
        <w:rPr>
          <w:sz w:val="28"/>
          <w:szCs w:val="28"/>
          <w:rtl/>
        </w:rPr>
        <w:t>مسلم ابن الحجاج ابن مسلم القشيري</w:t>
      </w:r>
      <w:r>
        <w:rPr>
          <w:rFonts w:hint="cs"/>
          <w:sz w:val="28"/>
          <w:szCs w:val="28"/>
          <w:rtl/>
        </w:rPr>
        <w:t xml:space="preserve">  في صحيحه </w:t>
      </w:r>
      <w:r w:rsidRPr="00C463B2">
        <w:rPr>
          <w:rFonts w:hint="cs"/>
          <w:sz w:val="28"/>
          <w:szCs w:val="28"/>
          <w:rtl/>
        </w:rPr>
        <w:t xml:space="preserve">، </w:t>
      </w:r>
      <w:r w:rsidRPr="004E7618">
        <w:rPr>
          <w:rFonts w:hint="cs"/>
          <w:sz w:val="28"/>
          <w:szCs w:val="28"/>
          <w:rtl/>
        </w:rPr>
        <w:t>كتاب (49)،  من حديث أبي سعيد الخدري رضي الله عنه.</w:t>
      </w:r>
    </w:p>
  </w:footnote>
  <w:footnote w:id="3">
    <w:p w:rsidR="002E5229" w:rsidRPr="00832834" w:rsidRDefault="002E5229" w:rsidP="002E5229">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w:t>
      </w:r>
      <w:r w:rsidRPr="00A73B48">
        <w:rPr>
          <w:sz w:val="28"/>
          <w:szCs w:val="28"/>
          <w:rtl/>
        </w:rPr>
        <w:t>النيسابوري</w:t>
      </w:r>
      <w:r w:rsidRPr="006721F9">
        <w:rPr>
          <w:rFonts w:hint="cs"/>
          <w:sz w:val="28"/>
          <w:szCs w:val="28"/>
          <w:rtl/>
        </w:rPr>
        <w:t xml:space="preserve"> </w:t>
      </w:r>
      <w:r w:rsidRPr="00A73B48">
        <w:rPr>
          <w:sz w:val="28"/>
          <w:szCs w:val="28"/>
          <w:rtl/>
        </w:rPr>
        <w:t>مسلم ابن الحجاج ابن مسلم القشيري</w:t>
      </w:r>
      <w:r>
        <w:rPr>
          <w:rFonts w:hint="cs"/>
          <w:sz w:val="28"/>
          <w:szCs w:val="28"/>
          <w:rtl/>
        </w:rPr>
        <w:t xml:space="preserve">  في صحيحه </w:t>
      </w:r>
      <w:r w:rsidRPr="00C463B2">
        <w:rPr>
          <w:rFonts w:hint="cs"/>
          <w:sz w:val="28"/>
          <w:szCs w:val="28"/>
          <w:rtl/>
        </w:rPr>
        <w:t xml:space="preserve">، كتاب </w:t>
      </w:r>
      <w:r w:rsidRPr="004E7618">
        <w:rPr>
          <w:rFonts w:hint="cs"/>
          <w:sz w:val="28"/>
          <w:szCs w:val="28"/>
          <w:rtl/>
        </w:rPr>
        <w:t>(1854) من حديث أم سلمة رضي الله عنها.</w:t>
      </w:r>
    </w:p>
  </w:footnote>
  <w:footnote w:id="4">
    <w:p w:rsidR="002E5229" w:rsidRDefault="002E5229" w:rsidP="002E5229">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مقال: محمد مختار عبد القادر، ضرورة الوعي السياسي للدعاة، نقلاً عن الشيخ محمد الغزالي رحمه الله. بتاريخ 28/2/2012، الساعة 10.00 مساء. </w:t>
      </w:r>
    </w:p>
    <w:p w:rsidR="002E5229" w:rsidRDefault="00637506" w:rsidP="002E5229">
      <w:pPr>
        <w:pStyle w:val="a3"/>
        <w:bidi w:val="0"/>
        <w:spacing w:line="300" w:lineRule="exact"/>
        <w:jc w:val="both"/>
        <w:rPr>
          <w:rtl/>
        </w:rPr>
      </w:pPr>
      <w:hyperlink r:id="rId1" w:history="1">
        <w:r w:rsidR="002E5229">
          <w:rPr>
            <w:rStyle w:val="Hyperlink"/>
          </w:rPr>
          <w:t>http://somaliatodaynet.com/news/index.php?option=com_content&amp;task=view&amp;id=3630&amp;Itemid=29</w:t>
        </w:r>
      </w:hyperlink>
      <w:r w:rsidR="002E5229">
        <w:rPr>
          <w:rFonts w:hint="cs"/>
          <w:rtl/>
        </w:rPr>
        <w:t xml:space="preserve"> </w:t>
      </w:r>
    </w:p>
    <w:p w:rsidR="002E5229" w:rsidRDefault="002E5229" w:rsidP="002E5229">
      <w:pPr>
        <w:pStyle w:val="a3"/>
        <w:bidi w:val="0"/>
        <w:spacing w:line="300" w:lineRule="exact"/>
        <w:jc w:val="both"/>
        <w:rPr>
          <w:sz w:val="28"/>
          <w:szCs w:val="28"/>
          <w:rtl/>
        </w:rPr>
      </w:pPr>
    </w:p>
    <w:p w:rsidR="002E5229" w:rsidRPr="00832834" w:rsidRDefault="002E5229" w:rsidP="002E5229">
      <w:pPr>
        <w:pStyle w:val="a3"/>
        <w:spacing w:line="300" w:lineRule="exact"/>
        <w:jc w:val="both"/>
        <w:rPr>
          <w:sz w:val="28"/>
          <w:szCs w:val="28"/>
        </w:rPr>
      </w:pPr>
    </w:p>
  </w:footnote>
  <w:footnote w:id="5">
    <w:p w:rsidR="002E5229" w:rsidRDefault="002E5229" w:rsidP="002E5229">
      <w:pPr>
        <w:pStyle w:val="a3"/>
        <w:spacing w:line="300" w:lineRule="exact"/>
        <w:jc w:val="both"/>
        <w:rPr>
          <w:sz w:val="28"/>
          <w:szCs w:val="28"/>
          <w:rtl/>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مقال: فتحي يكن</w:t>
      </w:r>
      <w:r w:rsidRPr="00C21137">
        <w:rPr>
          <w:rFonts w:hint="cs"/>
          <w:sz w:val="28"/>
          <w:szCs w:val="28"/>
          <w:rtl/>
        </w:rPr>
        <w:t xml:space="preserve">، </w:t>
      </w:r>
      <w:r>
        <w:rPr>
          <w:rFonts w:hint="cs"/>
          <w:sz w:val="28"/>
          <w:szCs w:val="28"/>
          <w:rtl/>
        </w:rPr>
        <w:t>أ</w:t>
      </w:r>
      <w:r w:rsidRPr="00C21137">
        <w:rPr>
          <w:rFonts w:hint="cs"/>
          <w:sz w:val="28"/>
          <w:szCs w:val="28"/>
          <w:rtl/>
        </w:rPr>
        <w:t>همية الوعي السياسي في العمل الإسلامي</w:t>
      </w:r>
      <w:r>
        <w:rPr>
          <w:rFonts w:hint="cs"/>
          <w:sz w:val="28"/>
          <w:szCs w:val="28"/>
          <w:rtl/>
        </w:rPr>
        <w:t xml:space="preserve">، التاريخ 28/2/2013، الساعة 10.30مساء. </w:t>
      </w:r>
    </w:p>
    <w:p w:rsidR="002E5229" w:rsidRPr="00832834" w:rsidRDefault="00637506" w:rsidP="002E5229">
      <w:pPr>
        <w:pStyle w:val="a3"/>
        <w:bidi w:val="0"/>
        <w:spacing w:line="300" w:lineRule="exact"/>
        <w:jc w:val="both"/>
        <w:rPr>
          <w:sz w:val="28"/>
          <w:szCs w:val="28"/>
        </w:rPr>
      </w:pPr>
      <w:hyperlink r:id="rId2" w:history="1">
        <w:r w:rsidR="002E5229" w:rsidRPr="001A15F0">
          <w:rPr>
            <w:rStyle w:val="Hyperlink"/>
            <w:sz w:val="28"/>
            <w:szCs w:val="28"/>
          </w:rPr>
          <w:t>http://www.odabasham.net/show.php?sid=57736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29"/>
    <w:rsid w:val="00243C6D"/>
    <w:rsid w:val="002E5229"/>
    <w:rsid w:val="00637506"/>
    <w:rsid w:val="007072AD"/>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29"/>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2E5229"/>
    <w:pPr>
      <w:spacing w:after="0" w:line="240" w:lineRule="auto"/>
    </w:pPr>
    <w:rPr>
      <w:sz w:val="20"/>
      <w:szCs w:val="20"/>
    </w:rPr>
  </w:style>
  <w:style w:type="character" w:customStyle="1" w:styleId="Char">
    <w:name w:val="نص حاشية سفلية Char"/>
    <w:basedOn w:val="a0"/>
    <w:link w:val="a3"/>
    <w:uiPriority w:val="99"/>
    <w:rsid w:val="002E5229"/>
    <w:rPr>
      <w:rFonts w:ascii="Calibri" w:eastAsia="Calibri" w:hAnsi="Calibri" w:cs="Traditional Arabic"/>
      <w:sz w:val="20"/>
      <w:szCs w:val="20"/>
    </w:rPr>
  </w:style>
  <w:style w:type="character" w:styleId="a4">
    <w:name w:val="footnote reference"/>
    <w:uiPriority w:val="99"/>
    <w:unhideWhenUsed/>
    <w:rsid w:val="002E5229"/>
    <w:rPr>
      <w:rFonts w:cs="Traditional Arabic"/>
      <w:sz w:val="36"/>
      <w:szCs w:val="36"/>
      <w:vertAlign w:val="superscript"/>
    </w:rPr>
  </w:style>
  <w:style w:type="character" w:styleId="Hyperlink">
    <w:name w:val="Hyperlink"/>
    <w:uiPriority w:val="99"/>
    <w:unhideWhenUsed/>
    <w:rsid w:val="002E5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29"/>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2E5229"/>
    <w:pPr>
      <w:spacing w:after="0" w:line="240" w:lineRule="auto"/>
    </w:pPr>
    <w:rPr>
      <w:sz w:val="20"/>
      <w:szCs w:val="20"/>
    </w:rPr>
  </w:style>
  <w:style w:type="character" w:customStyle="1" w:styleId="Char">
    <w:name w:val="نص حاشية سفلية Char"/>
    <w:basedOn w:val="a0"/>
    <w:link w:val="a3"/>
    <w:uiPriority w:val="99"/>
    <w:rsid w:val="002E5229"/>
    <w:rPr>
      <w:rFonts w:ascii="Calibri" w:eastAsia="Calibri" w:hAnsi="Calibri" w:cs="Traditional Arabic"/>
      <w:sz w:val="20"/>
      <w:szCs w:val="20"/>
    </w:rPr>
  </w:style>
  <w:style w:type="character" w:styleId="a4">
    <w:name w:val="footnote reference"/>
    <w:uiPriority w:val="99"/>
    <w:unhideWhenUsed/>
    <w:rsid w:val="002E5229"/>
    <w:rPr>
      <w:rFonts w:cs="Traditional Arabic"/>
      <w:sz w:val="36"/>
      <w:szCs w:val="36"/>
      <w:vertAlign w:val="superscript"/>
    </w:rPr>
  </w:style>
  <w:style w:type="character" w:styleId="Hyperlink">
    <w:name w:val="Hyperlink"/>
    <w:uiPriority w:val="99"/>
    <w:unhideWhenUsed/>
    <w:rsid w:val="002E5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odabasham.net/show.php?sid=57736" TargetMode="External"/><Relationship Id="rId1" Type="http://schemas.openxmlformats.org/officeDocument/2006/relationships/hyperlink" Target="http://somaliatodaynet.com/news/index.php?option=com_content&amp;task=view&amp;id=3630&amp;Itemid=2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2021-05-29T13:38:00Z</dcterms:created>
  <dcterms:modified xsi:type="dcterms:W3CDTF">2021-05-29T13:50:00Z</dcterms:modified>
</cp:coreProperties>
</file>