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61" w:rsidRPr="000A3ED7" w:rsidRDefault="002E5D61" w:rsidP="00840EEC">
      <w:pPr>
        <w:bidi/>
        <w:spacing w:after="120" w:line="264" w:lineRule="auto"/>
        <w:ind w:firstLine="39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b/>
          <w:bCs/>
          <w:sz w:val="32"/>
          <w:szCs w:val="32"/>
          <w:rtl/>
        </w:rPr>
        <w:t>النثر الفني في كتاب (العِبَر) لابن خلدون.</w:t>
      </w:r>
    </w:p>
    <w:p w:rsidR="002E5D61" w:rsidRPr="000A3ED7" w:rsidRDefault="000F1CFC" w:rsidP="00840EEC">
      <w:pPr>
        <w:bidi/>
        <w:spacing w:after="120" w:line="264" w:lineRule="auto"/>
        <w:ind w:firstLine="397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بُنية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الخ</w:t>
      </w:r>
      <w:r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ط</w:t>
      </w:r>
      <w:r w:rsidR="002E5D61" w:rsidRPr="000A3ED7">
        <w:rPr>
          <w:rFonts w:ascii="Traditional Arabic" w:hAnsi="Traditional Arabic" w:cs="Traditional Arabic"/>
          <w:sz w:val="32"/>
          <w:szCs w:val="32"/>
          <w:rtl/>
        </w:rPr>
        <w:t>بة عند ابن خلدون</w:t>
      </w:r>
      <w:r w:rsidR="00DD5225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E5D61" w:rsidRPr="000A3ED7">
        <w:rPr>
          <w:rFonts w:ascii="Traditional Arabic" w:hAnsi="Traditional Arabic" w:cs="Traditional Arabic"/>
          <w:sz w:val="32"/>
          <w:szCs w:val="32"/>
          <w:rtl/>
        </w:rPr>
        <w:t>(2-1)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بقلم د. طلال أحمد العوض الحسن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دكتوراه في الأدب العربي</w:t>
      </w:r>
      <w:r w:rsidR="008B6DB4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/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السودان</w:t>
      </w:r>
    </w:p>
    <w:p w:rsidR="008B6DB4" w:rsidRPr="000A3ED7" w:rsidRDefault="008B6DB4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B6DB4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b/>
          <w:bCs/>
          <w:sz w:val="32"/>
          <w:szCs w:val="32"/>
          <w:rtl/>
        </w:rPr>
        <w:t>بين يديّ الموضوع:</w:t>
      </w:r>
    </w:p>
    <w:p w:rsidR="008B6DB4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840EEC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فتئ الباحثون في مجال الأدب العربي يفرون من النثر ويرتمون في (أحضان الشِّعر)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يحدوهم الأمل أنَّ سيجدون في الشِّعر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سلواهم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r w:rsidR="008B6DB4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يستظلون </w:t>
      </w:r>
      <w:r w:rsidR="00840EEC" w:rsidRPr="000A3ED7">
        <w:rPr>
          <w:rFonts w:ascii="Traditional Arabic" w:hAnsi="Traditional Arabic" w:cs="Traditional Arabic"/>
          <w:sz w:val="32"/>
          <w:szCs w:val="32"/>
          <w:rtl/>
        </w:rPr>
        <w:t>بظله ويرتشفون من رقيق لفظه، ظ</w:t>
      </w:r>
      <w:r w:rsidR="00840EEC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نّ</w:t>
      </w:r>
      <w:r w:rsidR="00840EEC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ً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منهم أنَّ البون شاسعٌ بينه وبين (النثر)! إذ يتصف الثاني (أ ي النثر)، بالجفاء والجفاف...ونسوا أو تناسوا أنَّ الخطابة (باعتبارها نوع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النثر)، كان لها ما للشعر من المكانة عند العرب منذ الجاهلية، فهما كفرسي رهان عند العرب...وحسبك أن تطالع كتب التاريخ العربي لتجدها حافلة شاهدة على ما وصل إليه النثر من شأن.</w:t>
      </w:r>
    </w:p>
    <w:p w:rsidR="008B6DB4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أما إذا جئنا لنتكلم حول (النثر الفني)، فإنه من الأجناس الأدبية التي لا </w:t>
      </w:r>
      <w:r w:rsidR="002276C0" w:rsidRPr="000A3ED7">
        <w:rPr>
          <w:rFonts w:ascii="Traditional Arabic" w:hAnsi="Traditional Arabic" w:cs="Traditional Arabic"/>
          <w:sz w:val="32"/>
          <w:szCs w:val="32"/>
          <w:rtl/>
        </w:rPr>
        <w:t xml:space="preserve">تقل عن الشعر مكانة بل ربما 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أجد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–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حسب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76C0" w:rsidRPr="000A3ED7">
        <w:rPr>
          <w:rFonts w:ascii="Traditional Arabic" w:hAnsi="Traditional Arabic" w:cs="Traditional Arabic"/>
          <w:sz w:val="32"/>
          <w:szCs w:val="32"/>
          <w:rtl/>
        </w:rPr>
        <w:t>وجهة نظري الشخصية-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أنه يتفوق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عليه في بعض الأحيان، خصوص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إذا تعلّق الأمر بالأمور العقلية الجدلية التي هي من أدوات (نشر الإسلام)، في عصرنا ا</w:t>
      </w:r>
      <w:r w:rsidR="00840EEC" w:rsidRPr="000A3ED7">
        <w:rPr>
          <w:rFonts w:ascii="Traditional Arabic" w:hAnsi="Traditional Arabic" w:cs="Traditional Arabic"/>
          <w:sz w:val="32"/>
          <w:szCs w:val="32"/>
          <w:rtl/>
        </w:rPr>
        <w:t>لحاضر، وربما يكون (النثر الفني)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40EEC" w:rsidRPr="000A3ED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و(الخطابة) </w:t>
      </w:r>
      <w:r w:rsidR="00840EEC" w:rsidRPr="000A3ED7">
        <w:rPr>
          <w:rFonts w:ascii="Traditional Arabic" w:hAnsi="Traditional Arabic" w:cs="Traditional Arabic" w:hint="cs"/>
          <w:sz w:val="32"/>
          <w:szCs w:val="32"/>
          <w:rtl/>
        </w:rPr>
        <w:t>جزءٌ أصيلٌ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منه</w:t>
      </w:r>
      <w:r w:rsidR="00840EEC" w:rsidRPr="000A3ED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أقرب</w:t>
      </w:r>
      <w:r w:rsidR="00840EEC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إلى فهم غير الملم بالعربية الفصيحة أو حتى من هو من غير الناطقين بها.</w:t>
      </w:r>
    </w:p>
    <w:p w:rsidR="00BB2320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يمثِّل ابن خلدون عند الكثيرين كونه مؤرِّخ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وعالم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علماء الاجتماع؛ أما كونه أديب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شاعر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كاتب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مُجيد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...! فقد يخفى على الكثيرين دوره في هذا الجانب؛ لذا آليت على نفسي كشف هذا الجانب للقرّاء وبيان موسوعيته من خلال (النثر الفني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كتابه (العبر)، محاول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إلقاء الضوء على هذه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الأشكال النثرية التي بزَّ فيها ابن خلدون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وكان له فيها القدح المعلّى،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وس</w:t>
      </w:r>
      <w:r w:rsidR="000F1CFC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نتكلّم</w:t>
      </w:r>
      <w:r w:rsidR="000F1CFC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في هذه السانحة عن: بُنية الخُطبة عند ابن خلدون: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1- وصف النص</w:t>
      </w:r>
      <w:r w:rsidR="008B6DB4" w:rsidRPr="000A3ED7">
        <w:rPr>
          <w:rFonts w:ascii="Traditional Arabic" w:hAnsi="Traditional Arabic" w:cs="Traditional Arabic"/>
          <w:b/>
          <w:bCs/>
          <w:i/>
          <w:iCs/>
          <w:color w:val="FF0000"/>
          <w:sz w:val="32"/>
          <w:szCs w:val="32"/>
          <w:rtl/>
        </w:rPr>
        <w:t>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ينقسم نص الخطبة إلى العوامل التالية: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b/>
          <w:bCs/>
          <w:sz w:val="32"/>
          <w:szCs w:val="32"/>
          <w:rtl/>
        </w:rPr>
        <w:t>المرسل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 في الخطبة التي بين أيدينا نجد – ابن خلدون- هو الفاعل الرئيس إذ قام بكتابة هذه الخطبة لشكر السلطان الظاهر على تعيينه مدرّس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للمالكية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مدرسته ما بين القصرين. وقد اعتمد في خطبته الأسلوب غير المباشر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خطاب موجه من أدنى إلى أعلى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كما نجد ضمير المتكلم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الأنا" –ابن خلدون- يلقي خطابه إلى ضمير الجمع "أنتم" أي جمهور الطلبة والمستمعين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فالمرسل هنا يكون في وضع "أشبه ما يكون بوضع الشاعر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فالاستمالة فيها مقدّمة على الحجة في الغالب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إذ يسعى الخطيب لمشاركة الآخرين ما يجده أو يتظاهر به...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أي أنه يرمي إلى التعاطف معه فيما يعبر عنه.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ويتميز المرسل في هذه الخطبة بعدة خصائص منها: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1- الفصاحة: يمتاز ابن خلدون بالفصاحة والبيان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حيث نجده يستخدم الكلام الفصيح الخالي من الغموض والغرابة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لا يمشي باللفظ إلا وراء المعنى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وذلك لكي يفهمه العام والخاص من الناس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نجد ابن خلدون أيض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عارف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بأمور الدين والدنيا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ذلك أن القرآن الكريم والسنة النبوية كانا هما </w:t>
      </w:r>
      <w:r w:rsidR="001E0864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المنبعين الأولين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استقى علمه منهما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فقد أتم حفظ القرآن الكريم في مرحلة مبكرة من حياته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وبه اصطبغت حافظته اللغوية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وصقلت روحه الخطابية بنور القرآن الكريم والسنة النبوية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فشعّت خطبته بألفاظهما في كل أركانها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وكذا نجد في النص أثر أدائه فريضة الحج مما انعكس إيجاب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أيضا على مفردات وتفاصيل خطبته أيض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2- سرعة البديهة: كان المرسل سريع البديهة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1E0864" w:rsidRPr="000A3ED7">
        <w:rPr>
          <w:rFonts w:ascii="Traditional Arabic" w:hAnsi="Traditional Arabic" w:cs="Traditional Arabic"/>
          <w:sz w:val="32"/>
          <w:szCs w:val="32"/>
          <w:rtl/>
        </w:rPr>
        <w:t xml:space="preserve"> وسرعة بديهته تنم عن </w:t>
      </w:r>
      <w:r w:rsidR="001E086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ذكاء</w:t>
      </w:r>
      <w:r w:rsidR="001E0864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ٍ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فطريّ </w:t>
      </w:r>
      <w:r w:rsidR="000F1CFC" w:rsidRPr="000A3ED7">
        <w:rPr>
          <w:rFonts w:ascii="Traditional Arabic" w:hAnsi="Traditional Arabic" w:cs="Traditional Arabic"/>
          <w:sz w:val="32"/>
          <w:szCs w:val="32"/>
          <w:rtl/>
        </w:rPr>
        <w:t xml:space="preserve">نمّاه باحتكاكه بالسلاطين وكثرة </w:t>
      </w:r>
      <w:r w:rsidR="000F1CFC" w:rsidRPr="000A3ED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سفاره وتنقله من م</w:t>
      </w:r>
      <w:r w:rsidR="000F1CFC" w:rsidRPr="000A3ED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صر لآخر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إذ إنه لم يكتفِ بالثقافة العربية فقط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بل احتك بالكثير من الثقافات الأخرى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وكان واسع المعرفة يحب البحث 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والاطلاع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3- رباطة الجأش: ونعني بها القوة التي كان يتميز بها-ابن خلدون- حيث كان قوي الشخصية لا يستسلم أمام العوائق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التي كانت تقف أمامه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بل كان يكافح بكل قوته ليصل إلى ما يريد.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4- حسن التخلص: أي أن الخطيب قد يقع فيما يحرجه ويكون ذلك مدعاة لسقوط شأنه مما يضر بمكانته فيحسن التخلص من تلكم المآزق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وهذا ما تميز به ابن خلدون أيضا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فرغم </w:t>
      </w:r>
      <w:r w:rsidR="00A818D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كثرة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الوشايات والسعايات ضده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="00A818D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فقد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استطاع التخلص منها بحنكته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ودها</w:t>
      </w:r>
      <w:r w:rsidR="00A818D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ئ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ه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ب- المرسل إليه: هو أساس قيام خطاب (المرسل)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الموجه إلى طلبته بالمدرسة المالكية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فالمرسل إليه هنا خالي الذهن يتقبل ما يلقى على سمعه</w:t>
      </w:r>
      <w:r w:rsidR="00A818DD" w:rsidRPr="000A3ED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وهذه الحال اقتضت خطابة إعلامية. وقد جاء مشخَّص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="00A818DD" w:rsidRPr="000A3ED7">
        <w:rPr>
          <w:rFonts w:ascii="Traditional Arabic" w:hAnsi="Traditional Arabic" w:cs="Traditional Arabic"/>
          <w:sz w:val="32"/>
          <w:szCs w:val="32"/>
          <w:rtl/>
        </w:rPr>
        <w:t xml:space="preserve"> نص</w:t>
      </w:r>
      <w:r w:rsidR="00A818DD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يّ</w:t>
      </w:r>
      <w:r w:rsidR="00A818D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ً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قبل بداية العرض بصيغة ضمير المتكلمين "نحن" وهذا نجده في قوله: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وإنَّ مولانا السلطان الملك الظاهر..."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إذ يدل على اشتراك الذات المرسلة والمرسل إليه في نوع العلاقة التي تربطهم بالسلطان في كونه صاحب الفضل الذي أتاح لابن خلدون التدريس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الرتبة)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ومجموع الطلاب بالالتحاق بهذه المدرسة للاستفادة من علم الخطيب.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ج- الرسالة: تحضر الفواعل السابقة في النص من خلال مستويين: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1- المستوى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التلفظي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: المنطوق الذي يتجلَّى في الخطبة التي بين أيدينا من خلال المؤشرات التعبيريّة التي تتراوح بين الغائب والمتكلم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فمثل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 نجد ضمير الغائب المفرد المذكَّر "هو" في قوله: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الحمد لله الذي مَنّ على عباده)).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والصلاة والسلام على سيدنا ومولانا محمد سيّد البشر))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1E0864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عالم المدينة وإمام هذه الأمة...الإمام مالك بن أنس))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سلطان المسلمين أبو سعيد صدق الله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فيما يقتفي من الله ظنونه))</w:t>
      </w:r>
      <w:r w:rsidR="001E086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لما قلّده الله هذا الأمر))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حيث استولى من العز والملك وسارع إلى فعل الخيرات بنفسٍ مطمئنة...الخ)).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وضمير الغائب المفرد المؤنث "هي" في قوله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وانتظمت عقود ا</w:t>
      </w:r>
      <w:r w:rsidR="00A818DD" w:rsidRPr="000A3ED7">
        <w:rPr>
          <w:rFonts w:ascii="Traditional Arabic" w:hAnsi="Traditional Arabic" w:cs="Traditional Arabic"/>
          <w:sz w:val="32"/>
          <w:szCs w:val="32"/>
          <w:rtl/>
        </w:rPr>
        <w:t>لدولة في ل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بّات الأيام))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وكانت دولته واسطة السلك))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وإنما هي رحمة من مولانا السلطان أيّده الله))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وتلتبس العصائب بالتيجان)).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4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وجمع المذكر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هُمْ" نجده في قوله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والرضا على آله وأصحابه غيوث رحمته وليوث أنجاده))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أما بعد فإن الخلق عيال الله يكنفهم بلطفه ورحمته))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5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ثم نجد ضمير المتكلم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أنا" في قوله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فأعرضت عن ذلك وشُغلتُ بما أنا فيه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خرجتُ عام تسعة وثمانين للحج))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واقتضيت إذن السلطان في ذلك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ثمّ صعدت مع المحمل إلى مكة فقضيت الفرض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عامئذٍ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وعدت في البحر)).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6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وكذلك ضمير المتكلم الجمع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نحن" في قوله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وإنَّ مولانا السلطان الظاهر العزيز القاهر والعادل الطاهر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وأخير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ضمير المخاطب المفرد المذكّر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أنت" في قوله: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فلا (تخشى)*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والحمدلله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غائلة انقطاعه ولا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نفاذه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)).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2-المستوى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الملفوظي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: الرسالة التي تقدمها الخطبة عبارة عن حدثٍ يعالج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محور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رئيس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هو شكر وتكريم شخصية السلطان؛ من طرف المرسل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بغرض استمالة المرسل إليه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ويقدم ذلك وفق بناء شكلي عام يقوم على وجود المقدمة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العرض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الخاتمة.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وعليه فإنَّ للخطبة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موضوع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خاص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ًّا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وبنية عامة تشترك فيها مختلف أنواع الخطب السابقة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وهذا ما سنحاول 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معرفته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الأسطر التالية: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2- عناصر النص: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يتجزأ نص الخطبة التي بين أيدينا إلى ثلاثة عناصر أساسية: المقدمة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العرض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الموضوع)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الخاتمة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وتتشكل في مجموعها البنية الكبرى للنص كما يلي: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النص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أ_ المقدم</w:t>
      </w:r>
      <w:r w:rsidRPr="000A3ED7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>ة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ب_</w:t>
      </w:r>
      <w:r w:rsidR="008B6DB4" w:rsidRPr="000A3ED7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العرض (الموضوع)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الب</w:t>
      </w:r>
      <w:r w:rsidR="000F1CFC" w:rsidRPr="000A3ED7">
        <w:rPr>
          <w:rFonts w:ascii="Traditional Arabic" w:hAnsi="Traditional Arabic" w:cs="Traditional Arabic" w:hint="cs"/>
          <w:sz w:val="32"/>
          <w:szCs w:val="32"/>
          <w:u w:val="single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نية الكبرى لنص الخطبة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0A3ED7">
        <w:rPr>
          <w:rFonts w:ascii="Traditional Arabic" w:hAnsi="Traditional Arabic" w:cs="Traditional Arabic"/>
          <w:sz w:val="32"/>
          <w:szCs w:val="32"/>
          <w:u w:val="single"/>
          <w:rtl/>
        </w:rPr>
        <w:t>ج- الخاتمة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ب- ب</w:t>
      </w:r>
      <w:r w:rsidR="000F1CFC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نية المقدمة: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المقدمة في الخطبة هي: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أول ما يطرق الأسماع من الخطبة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فإذا كانت جيدة أصغى السامعون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وتأهبوا لما بعدها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وتفتحت نفوسهم للخطيب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وإلا كانت نذير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بفشله وتفاهة أثره..."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7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فهي إذن بداية الكلام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وصدره ويتوقف عليها مدى جودة الخطبة وبراعة الخطيب في إيصال الفكرة التي يريد إيصالها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فكلما كانت المقدِّمة شائقة يعتمد فيها الخطيب على شحذ الهمم وتشوّف النفوس والتأثير من خلال الفاعل الإيجابي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أحدثت الأثر المنشود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وكلما كانت باردة سمجة مملة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لا ينفعل معها الخطيب فضل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عن المستمعين كان ذلك إيذان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بفشل الخطبة ومن ثَمَّ سقوط الخطيب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وتفاهة أثره.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1- حُسن الفواتح: وهي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لحظة الاستهواء والاستمالة..."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8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ليثير المرسِل انتباه سامعيه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ويؤثِّر فيهم حتى يستعدوا لتقبل الكلام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الذي يأتي بعده وينفعل به ويتصرف بتأثيره تصرف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يوافق مضمونه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وتتضمن هذه اللحظة في النص العناصر التالية: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أ- الحمدلة: معناه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الشكر لله جلَّ ثناؤه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دون سائر ما يعبد من دونه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بالباطل) ودون كل ما يرى من خلقه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بما 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نعم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عباده من النعم التي لا يحصيها العدد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ولا يحيط بعددها غير</w:t>
      </w:r>
      <w:r w:rsidR="0011203D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ه أحد..."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9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وهذا ما جعل 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الحمد مطلوب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أوائل الأمور طلب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للتيمن والتبرك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عملا بما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رواه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أب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هريرة رضي الله عنه أنه- صلى الله عليه وسلم- قال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(كل أمر ذي بالٍ لا يبدأ فيه بحمد لله فهو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أجذم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proofErr w:type="gramEnd"/>
      <w:r w:rsidRPr="000A3ED7">
        <w:rPr>
          <w:rFonts w:ascii="Traditional Arabic" w:hAnsi="Traditional Arabic" w:cs="Traditional Arabic"/>
          <w:sz w:val="32"/>
          <w:szCs w:val="32"/>
          <w:rtl/>
        </w:rPr>
        <w:t>"*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0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فإن العبد يتشّوف من خلاله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إلى الثناء على الله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داعية إلى الاستماع..."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1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وهذا ما حدا بابن خلدون أن يستهل به خطبته قائل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الحمد لله الذي مَنَّ على عباده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بنعمة خلقه وإيجاده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وصرَّفهم في أطوار استعباده بين قدره ومراده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وعرَّفهم أسرار توحيده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مظاهر وجوده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وآثار لطفه في وقائع عباده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وعرضهم على أمانة التكاليف ليبلوهم بصادق وعده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وإ</w:t>
      </w:r>
      <w:r w:rsidR="0011203D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عاده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ويسّرَ كُلّ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لما خلق 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هدايته وإضلاله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وغيِّه أو رشاده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8B6DB4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واستخلف الإنسان في الأرض بعد أن هداه النجدين لصلاحه أو فساده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وعلَّمه مالم يكن يعلم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مدارك سمعه وبصره والبيان عمّا في فؤاده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وجعل منهم أنبياء وملوك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يجاهدون في الله حقَّ جهاده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ويثابرون على مرضاته في اعتمال العدل واعتماده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ورفع البيوت المقدسة بسبحات الذكر وأوراده..."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2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ولا شك أن استهلال ابن خلدون بهذه المقدِّمة تدل دلالة واضحة على عمق إيمانه وتغلغل الدين في كافة جوانب حياته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فهو يبدأ خطبته كالعادة المرعية ب</w:t>
      </w:r>
      <w:r w:rsidR="0011203D" w:rsidRPr="000A3ED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الحمدلة) مثني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الله تبارك وتعالى بما هو له أهل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معدّد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آلاء الله على عباده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بادئ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بالخلق والإيجاد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كأني به أراد لفت الأنظار إلى قول الباري سبحانه وتعالى: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وفي أنفسكم أفلا تبصرون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).(</w:t>
      </w:r>
      <w:proofErr w:type="gramEnd"/>
      <w:r w:rsidRPr="000A3ED7">
        <w:rPr>
          <w:rFonts w:ascii="Traditional Arabic" w:hAnsi="Traditional Arabic" w:cs="Traditional Arabic"/>
          <w:sz w:val="32"/>
          <w:szCs w:val="32"/>
          <w:rtl/>
        </w:rPr>
        <w:t>*)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ونخلص إلى أنَّ الحمد جاء في بداية هذه الخطبة بغرض النداء بمجموع المحامد</w:t>
      </w:r>
      <w:r w:rsidR="0011203D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المِنن)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التي أنعم الله بها على عبده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والآلاء التي تفضّل بها على سائر خلقه.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ب- الصلاة والسلام على النبي صلَّى الله عليه وسلم: افتتحت بصيغة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والصلاة والسلام على سيدنا ومولانا محمد صلى الله عليه وسلم..."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3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وفي ذلك دلالة عظيمة تتمثل في أن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الصلاة على النبي صلَّى الله عليه وسلم مطلوبة في الجملة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ذلك امتثال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لقول الحق سبحانه وتعالى: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إنَّ الله وملائكته يُصلون على النبي يأيها الذين آمنوا صلوا عليه وسلموا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تسليما)*</w:t>
      </w:r>
      <w:proofErr w:type="gramEnd"/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4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وقد جاءت في النص في المرتبة الثانية بعد الحمد مباشرة</w:t>
      </w:r>
      <w:r w:rsidR="00142828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إتيان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بذكره بعد ذكر الله تعالى...</w:t>
      </w:r>
      <w:r w:rsidR="00142828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وإذا صلى [المرسل] على النبي صلى الله عليه وسلم فليجمع بين الصلاة والتسليم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ولا يقتصر على أحدهما فلا يقال صلى الله عليه فقط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ولا عليه السلام فقط..."</w:t>
      </w:r>
      <w:r w:rsidR="000A3ED7" w:rsidRPr="00221CC0">
        <w:rPr>
          <w:rStyle w:val="a4"/>
          <w:rFonts w:ascii="Traditional Arabic" w:hAnsi="Traditional Arabic" w:cs="Traditional Arabic"/>
          <w:rtl/>
        </w:rPr>
        <w:t>(</w:t>
      </w:r>
      <w:r w:rsidR="000A3ED7" w:rsidRPr="00221CC0">
        <w:rPr>
          <w:rStyle w:val="a4"/>
          <w:rFonts w:ascii="Traditional Arabic" w:hAnsi="Traditional Arabic" w:cs="Traditional Arabic"/>
          <w:rtl/>
        </w:rPr>
        <w:footnoteReference w:id="15"/>
      </w:r>
      <w:r w:rsidR="000A3ED7" w:rsidRPr="00221CC0">
        <w:rPr>
          <w:rStyle w:val="a4"/>
          <w:rFonts w:ascii="Traditional Arabic" w:hAnsi="Traditional Arabic" w:cs="Traditional Arabic"/>
          <w:rtl/>
        </w:rPr>
        <w:t>)</w:t>
      </w:r>
      <w:r w:rsidR="00221CC0" w:rsidRPr="00221CC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ونلاحظ أن ابن خلدون في خطبته هذه؛ وبعد تثنيته بالصلاة والسلام على النبي صلى الله عليه وسلم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يعود إلى الثناء والتشريف لسيدِّ ولد آدم فيقول: "سيد البشر من نسل آدم وأولاده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بل سيد الثقلين في العالم من إنسه وجِنِّه وأرواحه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="00142828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أجساده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لا. بل سيد الملائكة والنبيين الذي ختم [الله] كماله بكمالهم وآمادهم بآماده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الذي شرف به الأكوان فأضاءت أرجاء العالم لنور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ولاد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ِه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وأنزل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عليه النصر العزيز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وكانت ملائكة السماء من إمداده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حتى ظهر نور الله على رغم من رغم...وجعل له الشفاعة فيمن انتظم في أمته واعتصم بمقاده..."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6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وإذا تأملنا ذلك التعريف وحلّلناه؛ نجد ابن خلدون يترجم للنبي صلى الله عليه وسلم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2276C0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حيث قام بتتبع أهم الخصائص التي تفرَّد بها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ذلك بالكشف عن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المكانة العالية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المعجزات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المقام المحمود)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وقد اعتمد على حسن الفواصل التي تقسِّم الكلام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الذي ي</w:t>
      </w:r>
      <w:r w:rsidR="00142828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ظهر فيه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أثر</w:t>
      </w:r>
      <w:r w:rsidR="00142828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ٌ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بالغ وتأثر بيّن</w:t>
      </w:r>
      <w:r w:rsidR="00142828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وجلي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بالقرآن الكريم والسنة النبوية المطهّرة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خلال الاقتباس من آي الذكر الحكيم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مما يخدم وجه الدلالة على التفرد.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ج-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الترضية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: تحيل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دلالته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اللغوية على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رض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رض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رضوان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ضد سَخِطَ...وأحدهما ضد الآخر وقوله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تعالى(</w:t>
      </w:r>
      <w:proofErr w:type="gramEnd"/>
      <w:r w:rsidRPr="000A3ED7">
        <w:rPr>
          <w:rFonts w:ascii="Traditional Arabic" w:hAnsi="Traditional Arabic" w:cs="Traditional Arabic"/>
          <w:sz w:val="32"/>
          <w:szCs w:val="32"/>
          <w:rtl/>
        </w:rPr>
        <w:t>*)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رضي عنهم..)...تأويله أنه تعالى رضي عنهم أفعالهم..."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7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وقد جاءت هذه الدلالة اللغوية موجه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للدلالة الاصطلاحية التي قصدها الخطيب ويشمل الذوات التالية: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-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الترضية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عن آله وصحبه: أراد من خلاله الإحاطة الشاملة بتعريف الذوات التي اختصها الله بالرضى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من الأهل والأصحاب من الإشادة بفعل الجهاد الذي امتازوا به كما يؤكِّد ذلك قوله: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والرضى على آله وأصحابه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غيوث رحمته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وليوث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إنجاده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ذوي رحمه الطاهرة وأهل وداده المتزودين بالتقوى من خير أزواده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والمراغمين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بسيوفهم من جاهر بمكابرة الحق وعناده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وأراد في الدين بظلمه وإلحاده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حتى استقام الميسم في دين الله وبلاده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صلى الله عليه وعليهم صلاة تؤذن باتصال الخير</w:t>
      </w:r>
      <w:r w:rsidR="00142828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اعتياده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وتؤهل لاقتناء الثواب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وزياد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ِه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وسلم كثير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8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إن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الترضية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جاء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ت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مختتم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بالصلاة والسلام على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الآل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والصحب بطريقة التبعية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بعد الصلاة على النبي صلى الله عليه مباشرة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مع توضيح الغرض من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التصلية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المرتبطة بالسلام الكثير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.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19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 w:rsidRPr="000A3ED7">
        <w:rPr>
          <w:rFonts w:ascii="Traditional Arabic" w:hAnsi="Traditional Arabic" w:cs="Traditional Arabic"/>
          <w:sz w:val="32"/>
          <w:szCs w:val="32"/>
          <w:rtl/>
        </w:rPr>
        <w:t>-وعن الأئمة الأربعة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جاء بصيغة العطف تابع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للترضية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عن الأهل والصحب يقول: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وعن الأئمة الأربعة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علماء السنة المتبعة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والفئة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المجتباة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المصطنعة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وعن إمامنا من بينهم الذي حمل الشريعة وبيّنها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وحرّرَ مقاصدها الشريفة وعينها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وتعرّض في الآفاق منها والمطالع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بيّن شهبها اللوامع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فزينها. نكتة الهداية إذا حقق مناطها وشرط التحصيل والدراية إذا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روعيت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أشراطها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وقصد الركاب إذا ضربت في طلب العلم آباطها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عالم المدينة وإمام هذه الأمة الأمينة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ومقبس أنوار النبوة من مشكاتها المبينة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الإمام مالك بن أنس. ألحقه الله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برضوانه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وعرَّفنا بركة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الاقتداء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بهديه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وعرفانه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0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ونلمس من خلال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ذلك المقطع اعتداده بإمامه- الإمام مالك بن أنس- حيث قام باستعراض أبرز أفعاله والثناء عليه بالرتبة العلمية المقترنة بالدعاء المناسب للحالة (الرضى) فقد جاء مشتق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وصف غايته تعظيم القدر ورفعة الشأن.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-وعن السلف والتابعين: آخر الذوات التي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شملتها الترضية</w:t>
      </w:r>
      <w:r w:rsidR="00B02C3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عن طريق العطف أيض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" وعن سلف المؤمنين والمهتدين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وتابعيهم بإحسان إلى يوم الدِّين..."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1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2- البداية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وهي في الخطبة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لحظة الإعلان عن التقسيم المتبنى والتخطيط المُتبَع..."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2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العرض. وتبتدئ بصيغة عامة تتبناها معظم الخطب مركبة من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كلمتين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إ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حد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هما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أما"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والثاني</w:t>
      </w:r>
      <w:r w:rsidR="00B02C3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بعد"...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3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يشير معناها اللغوي على أنَّ مجرد النطق بها هو</w:t>
      </w:r>
      <w:r w:rsidR="00B02C3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"فصل الخطاب..."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4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ينتقل الخطيب مباشرة للتقديم للموضوع الذي سيتناوله بشكل عام.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وبما أنّ خطبة –ابن خلدون- هي خطبة اجتماعية غرضها شكر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سلطان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بمصر على تعيينه مُدرِّس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يوم افتتاح التدريس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كان مفروض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عليه أن يقول شيئ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يشير فيه إلى ذلك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وهذا ما جعله يشيد منذ البداية بمجموع النعم التي مَنَّ الله بها على عباده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وخصوصًا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نعمة اختيار الملوك المجبولين على العدل والإحسان إلى الرعية ابتغاء لمرضاته عزَّ وجلَّ بقوله: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فإنَّ الخلق عيال الله يكنفهم بلطفه ورحمته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ويكلفهم بفضله وبنعمته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وييسرهم لأسباب السعادة بآداب دينه وشرعته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ويحملهم في العناية بأمورهم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والرعاية لجمهورهم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مناهج سنته ولطائف حكمته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ولهذا اختار لهم الملوك الذين جبلهم على العدل وفطرته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وهداهم إلى التمسك بكلمته. ثم فضَّلهم بما خوَّلهم من سعة الرزق وبسطته واشتقاق التمكين في الأرض من قدرته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فتسابقوا بالخيرات إلى جزائه ومثوبته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وذهبوا بالدرجات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الع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ل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وفور الأجر ومزيته..."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5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فالمقدمة جاءت مترابطة الأقسام يحكمها ترابط منطقي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إذ يبدأ الخطيب بحسن الفواتح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ينتقل إلى البداية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كما أن العناصر جاءت مترابطة من حيث المضمون؛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العنصر الأول مهَّد للثاني وهكذا.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ب- بنية العرض: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يجب أن يكون العرض في الخطبة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واضح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مختصر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خالي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الاستطراد والتشخيص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يكتفي بالإعداد لمرحلة البرهنة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يضم ذكر الوقائع ووصفها زمن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ي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ًّ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ومكانيّ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كما يصف الذوات..."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6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أهم أقسامها لا يمكن الاستغناء عنه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لأنه يشمل القصة الخطابية بعكس المقدمة والخاتمة.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ويتناول –ابن خلدون- في موضوعه ما سبق عرضه في البداية بالشرح المفصَّل؛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فقد جاء مبنيّ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ثلاث وحدات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تؤلِّف في مجموعها البنية الكبرى للعرض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وفق التدرُّج الآتي: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1- وصف السلطان الظاهر.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2- وصف الأمير </w:t>
      </w:r>
      <w:proofErr w:type="spellStart"/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جهركس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(</w:t>
      </w:r>
      <w:proofErr w:type="gramEnd"/>
      <w:r w:rsidRPr="000A3ED7">
        <w:rPr>
          <w:rFonts w:ascii="Traditional Arabic" w:hAnsi="Traditional Arabic" w:cs="Traditional Arabic"/>
          <w:sz w:val="32"/>
          <w:szCs w:val="32"/>
          <w:rtl/>
        </w:rPr>
        <w:t>*).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3- الحديث عن الذات.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وتتميز هذه الوحدات بانقسامها إلى عناصر تشكل في مجموعها البنية الصغرى الخاصة بكل وحدة كما يلي: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1- بنية وصف السلطان الظاهر: يتطرق الخطيب فيها إلى الحديث عن سمات السلطان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وفضله في بناء الأمة الإسلامية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وأبرز أعماله الخيرية من خلال العناصر التالية: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أ- المدح والدعاء: لا أتصور غرابة تنتابنا في اعتماد الخطيب لهذا الغرض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ليستهل به خطبته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خصوص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إذا علمنا أن السلطان أغدق عليه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فضائل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عدة منذ التحاقه بالقاهرة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وقد اعتمد مدح الفضائل النفسية للمحسن قائل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إنَّ مولانا السلطان الملك الظاهر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العزيز القاهر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العادل الطاهر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القائم بأمور الإسلام عندما أعيا حملها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الأكتاد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وقطب دائرة الملك الذي أطلع الله من حاشيته الأبدال...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والمعفي على آثار الأعاظم من القياصرة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وذوي التيجان من التبابعة والأكاسرة...مؤيد كلمة الموحدين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ورافع دعائم الدين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وظهير خلافة المؤمنين سلطان المسلمين أبو سعيد..."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7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لقد أفرغ- ابن خلدون في هذا العنصر كل ما يجيش في صدره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شعور نبيل إزاء السلطان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يضفي عليه أرفع النعوت والأوصاف.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فهي إذن وقفة حافلة بالمعاني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الزاخرة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التي يصعد بنا من خلالها في مسالك مدح الملوك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التي يعتمد فيها على أفضل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ما يتفرع من تلك الفضائل وأجلها وأكملها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كنصر الدين وإفاضة العدل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وحسن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السيرة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proofErr w:type="gramEnd"/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وينبغي أن يتخطَّى في أوصافهم من جميع ذلك حدود 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الاقتصاد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إلى حدود الإفراط..."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8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وهذا ما جعله يغرق في الإشادة بتلك الشمائل التي تجعل السلطان يحيا حياة السعادة في الدارين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كما يفصح عن ذلك دعاء –ابن خلدون- له في آخر المدح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ص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د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ق الله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فيما يقتفي من الله ظنون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وجعل النصر ظهيره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كما جعل السعد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قرينه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والعزّ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خدينه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وكان وليه على القيام بأمور المسلمين ومعينه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وبلغ الأمة في اتصال أيامه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ودوام سلطانه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ما يرجونه من الله ويؤملونه..."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29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ب- مناقبه وأهم إنجازاته: وهو عنصر جوهريٌّ في الخطبة حاول- ابن خلدون- فيه استقصاء أبرز مزايا الممدوح التي اختصه الله بها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فرفعت مكانته بين الناس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D00697" w:rsidRPr="000A3ED7">
        <w:rPr>
          <w:rFonts w:ascii="Traditional Arabic" w:hAnsi="Traditional Arabic" w:cs="Traditional Arabic"/>
          <w:sz w:val="32"/>
          <w:szCs w:val="32"/>
          <w:rtl/>
        </w:rPr>
        <w:t xml:space="preserve"> ودلّت على فضله منذ </w:t>
      </w:r>
      <w:r w:rsidR="00D00697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تولّ</w:t>
      </w:r>
      <w:r w:rsidR="00D0069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ِ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يه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مقاليد الحكم.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ومن أهم ما جاء في ذلك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"لما قلّده الله هذا الأمر الذي استولى له على كرسي الملك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وانتظمت عقود الدول في لبات الأيام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وكانت دولته واسطة السلك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وجمع له الدين بولاية الحرمين...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وجمع عليه قلوب العباد فشهد سرها بمحبة الله[له] شهادة خالصة من الرَّيب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بريئة من الشك...وأحسن رعاية الدين والملك تشهد به الإنس والجِنة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بل النسم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والأجنة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proofErr w:type="gramEnd"/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ونافس في اتخاذ المدارس والربط لتعليم الكتاب والسنة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وبناء المساجد المقدسة ي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بني له بها البيوت في الجنة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ولا يضيع عمل عامل فيما أظهره أو أكنه..."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0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ولا يكتفي-ابن خلدون- بذكر المناقب فحسب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بل يميل إلى الإنجازات يعددها ويثني عليها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ونختار من ذلك المقطع التالي: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وإن ما أنتجته قرائح همته وعنايته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وأطلعته آفاق عدله وهدايته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ووضعت شواهده على بعد مداه في الفخر وغايته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ونجح مقاصده في الدين وسعايته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هذا المصنع الشريف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والهيكل السامي المنيف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الذي راق الكواكب حسنه وظرفه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وأعجز الهمم البشرية ترتيبه ورصفه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لا بل الكلم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السحريّة تمثيل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ه ووصف</w:t>
      </w:r>
      <w:r w:rsidR="00D00697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وشمخ بمطاولة السحب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ومناولة السحب مازنه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العزيز وأنفه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وازدهى بلبوس السعادة والقبول من الله عطفه..."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1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وخلاصة القول في هذا العنصر؛ أنه باختياره الحديث عن هذا الإنجاز كان نافذ البصيرة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لما تمتّع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به من الجمال الأخّاذ المثير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ومن ثَمّ فإنّ الشمولية هي التي أعطته الريادة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واتضح أنه سعى من خلال توظيف الألفاظ المستمدة من ثقافته الدينية والدنيوية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الإيوان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المحراب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المنار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بلاط الوليد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كوكب...).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هدفه استمالة قلوب السامعين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وذلك بما أظهره بالحجة والبرهان مدى عظمة إنجاز السلطان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وفي ذلك لفت لانتباه المتلقي إلى موطن التفرُّد المتحقق من لدن الذات المولوية لتزداد رفعة في نظره.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2-بنية وصف الأمير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جهركس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: يقصد من خلالها إبراز دور الأمير في القيام بأمور الدولة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وتتشكل من العناصر التالية: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أ- المدح والدعاء: في هذا العنصر انبرى –ابن خلدون- لكيل سيل من المديح لهذه الشخصية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انطلاق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ممن كان له الفضل في تكليفه –يعني الحاكم- قائل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دفع إلى تشييد أركانه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ورفع القواعد من بنيانه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سيف دولته الذي استله من قراب ملكه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وانتضاه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وسهمه الذي عجم عيدان كنانته فارتضاه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وحسام أمره الذي صقل فرنده بالعز والعزم وأمضاه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وحاكمه المؤيد الذي طالب غريم الأيام بالأمل العزيز المرام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فاستوفى دينه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واقتضاه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الأمير الأعز الأعلى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جهركس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الخليلي أمير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الماخورية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باسطبله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المنيع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حرسه الله من خطوب الأيام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وقسَّم له من عناية السلطان أوفر الحظوظ والسهام..."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2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نلاحظ أن المدح اختتم بالدعاء بدوام العز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ومضاعفة النعم للأمير من باب الملاطفة الواجبة في الدعوة لذوي المناصب الرفيعة؛ رغم أن المقصود بالمدح هنا هو عين السلطان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وإن كان ابن خلدون يتكلم عن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جهركس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) إذ لولا اختياره –أعني اختيار السلطان- لما كان في هذا المنصب الرفيع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فهو لا يتجاوز أن يكون أحد أعوان السلطان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غير أن ابن خلدون ما فتئَ يكيل له المدح تلو المدح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ولا ندري هل وعى الأمير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جهركس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أنه مجرد معبر لكيل المدح للسلطان ولو عن طريق غير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مباشر؟.</w:t>
      </w:r>
      <w:proofErr w:type="gramEnd"/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ب- دوره في اختيار العمَّال: استخدم الخطيب الوصف للدلالة على الحرص الشديد الذي يعتمده الأمير في اختيار الأيدي المشيدة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="00EC2C65"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وقد استعمل </w:t>
      </w:r>
      <w:r w:rsidR="00EC2C65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معان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كثيرة لتعضيد ما يكنه من مشاعر وجدانية 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ل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هؤلاء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العمّال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ومن أهم ما جاء فيه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فقام بالخطو الوساع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لأمره المطاع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وأغرى بها أيدي الإتقان والإبداع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واختصها من أصناف الفعلة بالماهر </w:t>
      </w:r>
      <w:proofErr w:type="gramStart"/>
      <w:r w:rsidRPr="000A3ED7">
        <w:rPr>
          <w:rFonts w:ascii="Traditional Arabic" w:hAnsi="Traditional Arabic" w:cs="Traditional Arabic"/>
          <w:sz w:val="32"/>
          <w:szCs w:val="32"/>
          <w:rtl/>
        </w:rPr>
        <w:t>الصنَّاع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proofErr w:type="gramEnd"/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وكأنما حشرت الجن والشياطين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أو نشرت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القهارمة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...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وغشوها من الوشي الأزهر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المضاعف الصدف والمرمر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ومائع اللجين الأبيض والذهب الأحمر بكل مسهم الحواشي حالي الأبراد..."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3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ثم بعد نهاية الوصف إلى التذكير بأهم هذه الإنجازات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التي قدمتها الأيدي المبدعة للدولة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مساجد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مجالس للتلاوة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زوايا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مدارس...)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وهو هنا يصف المدارس بصفة خاصة قائل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شأنها: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ومدارس لقدح زناد الأفكار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ونتاج المعارف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الأبكار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وصوغ اللجين والنُّضار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محك القرائح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وال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بصار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 تتفجَّر ينابيع الحكمة في رياضه وبستانه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وتتفتح أبواب الجنة من غرفه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وإيوانه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C2C65" w:rsidRPr="000A3ED7">
        <w:rPr>
          <w:rFonts w:ascii="Traditional Arabic" w:hAnsi="Traditional Arabic" w:cs="Traditional Arabic"/>
          <w:sz w:val="32"/>
          <w:szCs w:val="32"/>
          <w:rtl/>
        </w:rPr>
        <w:t>قتاد غ</w:t>
      </w:r>
      <w:r w:rsidR="00EC2C65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رّ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السوابق من العلوم والحقائق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 طلق ميدانه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ويصعد الكلم الطيب والعمل الصالح إلى الله من نواحي أركانه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وتوفر الأجور لغاشيته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محتسبة عند الله في ديوانه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راجحة في ميزانه...."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4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فابن خلدون هنا يسترسل في التذكير بمزايا هذه المدارس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بهدف الزيادة في إقناع جمهور الطلبة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بأهمية الفضل الذي قدمته لهم الدولة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حيث أتاحت الفرصة لعقولهم بأن تضاء بمختلف العلوم المنتشرة في أرجائها.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ومن هنا- يتضح لنا- بما لا يدع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مجال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للشك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أنه يصبو من خلال ذلك كله إلى دعوة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المرسل إليه) بطريقة صريحة بينة واضحة لا لبس فيها ولا غموض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يدعوه إلى بذل الإخلاص والوفاء لصاحب النعمة ويعني به السلطان.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3- بنية الحديث عن الذات: يكشف من خلالها عن وظيفته في تلك المدارس وما تبع ذلك من أحداث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النحو التالي: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أ- تعيينه ضمن طبقة الأئمة: ينطلق-ابن خلدون- في الحديث عن توليه القضاء بهذه المدارس بداية من تحديد مسئولية السلطان في ذلك: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ثم اختار لها من أئمة المذاهب الأربعة أعيان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...ثم نظمني معهم تطولا وامتنان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ونعمة عظمت موقع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وجلّت شأن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وأنا وإن كنت لقصور البضاعة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متأخر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عن الجماعة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ولقعود الهمة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عيال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هؤلاء الأئمة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...وإنما هي رحمة من مولانا السلطان-أيده الله- خصت كما عمت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ووسمت أغفال النكرة والإهمال وسمت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وكملت مواهب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عطفه</w:t>
      </w:r>
      <w:r w:rsidR="00142828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جبره وتمت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...والكل في نظر مولانا السلطان وتصريفه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والأهلية بتأهيله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والمعرفة بتعريفه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وقوام الحياة والآمال بلطائف إحسانه وصنوفه..."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5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نلاحظ أن المرسل بالرغم من مكانته العلمية المرموقة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إلا أنه بالغ في التواضع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وهذا إن دلّ على 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شيءٍ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فإنما يدل على أصل وتربية ابن خلدون وثقافته الدينية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التي دفعته إلى عدم الترفع والتعالي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حيث يصرِّح أمام طلبته ومستمعيه بقصوره مقارنة بزملائه من الأئمة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ليؤكد أن الاختيار جاء لعطف وإحسان الخليفة الذي شمله برحمته الواسعة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وفي ذلك اعتراف بالجميل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حيث أفاض بعده في التوجّه إلى الله </w:t>
      </w:r>
      <w:r w:rsidR="00EC2C65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تعالى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بالدعاء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لتوفيقه للذكر الحسن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" والله يوزعنا شكر معروفه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ويوفقنا للوفاء بشرطه في هذا الوقف وتكليفه ويحمى حماه من غيَرِ الدهر وصروفه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وي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ف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يء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على 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م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مالك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الإسلام ظلال أعلامه وسيوفه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ويريه قرة العين في نفسه وبنيه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وحاشيته وذويه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وخاصته ولفيفه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بمَنِّ الله وفضله..."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6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ب- عزله: يلخص في هذا العنصر المحنة التي تعرض لها بفعل الحسد وأدَّت إلى إبعاده عن منصبه قائل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ثم تعاون العداة عند أمير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الماخورية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القائم للسلطان بأمور مدرسته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وأغروه بصدّي عنها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وقطع أسبابي من ولايتها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ولم يمكن للسلطان إلا إسعافه فأعرضت عن ذلك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وشغلت بما أنا عليه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التدريس والتأليف..."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7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ج- السفر إلى قضاء فريضة الحج وعودته: يسرد من خلاله رحلته إلى البقاع المقدسة فيقول: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ثم خرجت عام تسعة وثمانين للحج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واقتضيت إذن السلطان في ذلك فأسعف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وزوّد هو وأمراؤه بما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أوسع الحال وأرغده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وركبت بحر السويس من الطور إلى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الينبع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صعدت مع المحمل إلى مكة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فقضيتُ الفرض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عامئذٍ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وعدت في البحر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فنزلت بساحل القصير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سافرت على مدينة قوص في آخر الصعيد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وركبت منها بحر النيل إلى مصر..."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8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ومما سبق عرضه نلاحظ أن الخطيب- ابن خلدون- استعان لتأكيد كلامه في جميع وحدات العرض على البرهان الخطابي المتمثِّل في حسن التقسيم الظاهر في جميع العناصر التي ت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شك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لها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؛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وهو برهان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يسعى من خلاله إلى إقناع المتلقي بإحاطته الكاملة بالموضوع من كل جوانبه لصرف نظره عن البحث والتقصِّي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واستمالته لتبني أفكاره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خصوص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وهو يخاطب جمهور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خاصَّا</w:t>
      </w:r>
      <w:r w:rsidR="00EC2C65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="00EC2C65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المتعلم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إن وحدات العرض السابق جاءت مترابطة المحتوى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الوحدة الأولى مهَّدت للوحدة الثانية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وهكذا إلى نهايتها فهي كل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>ٌّ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متكامل من حيث المضمون.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ج- بنية الخاتمة: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جاءت موجزة وقصيرة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ذلك بالنسبة للخطبة ذاتها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وهي تتضمن تلخيص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لما سبق طرحه في العرض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أي إعادة التذكير بفضل السلطان في إتاحة الفرصة للخطيب للتدريس من جديد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مع الكشف عن العواطف الذاتية تجاه المحسن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ويظهر ذلك كله من خلال قوله: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"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ولقيت السلطان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وأخبرته بدعائي له في أماكن الإجابة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وأعادني إلى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ماعهدت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كرامته </w:t>
      </w:r>
      <w:proofErr w:type="spellStart"/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وتف</w:t>
      </w:r>
      <w:r w:rsidR="00A075E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يُّؤ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ظله..."</w:t>
      </w:r>
      <w:r w:rsidR="000A3ED7" w:rsidRPr="000A3ED7">
        <w:rPr>
          <w:rStyle w:val="a4"/>
          <w:rFonts w:ascii="Traditional Arabic" w:hAnsi="Traditional Arabic" w:cs="Traditional Arabic"/>
          <w:rtl/>
        </w:rPr>
        <w:t>(</w:t>
      </w:r>
      <w:r w:rsidR="000A3ED7" w:rsidRPr="000A3ED7">
        <w:rPr>
          <w:rStyle w:val="a4"/>
          <w:rFonts w:ascii="Traditional Arabic" w:hAnsi="Traditional Arabic" w:cs="Traditional Arabic"/>
          <w:rtl/>
        </w:rPr>
        <w:footnoteReference w:id="39"/>
      </w:r>
      <w:r w:rsidR="000A3ED7" w:rsidRPr="000A3ED7">
        <w:rPr>
          <w:rStyle w:val="a4"/>
          <w:rFonts w:ascii="Traditional Arabic" w:hAnsi="Traditional Arabic" w:cs="Traditional Arabic"/>
          <w:rtl/>
        </w:rPr>
        <w:t>)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إنَّ الخطبة في محتواها ومضمونها مترابطة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من ناحية البنية الكبرى: المقدمة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العرض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الخاتمة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فهي تتوالى ضمن ترابط بنائي محكم وهو ترابط منطقي ومن </w:t>
      </w:r>
      <w:r w:rsidR="00A075E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أ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مثلته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المبثوثة في الخطبة: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أما بعد فإنَّ الخلق عيال الله يكنفهم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بلطفه</w:t>
      </w:r>
      <w:r w:rsidR="00142828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رحمته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...والرعاية لجمهورهم))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سلطان المسلمين ابن سعيد صد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ق الله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فيما يقتفي من الله ظنون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وجعل النصر ظهيره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كما جعل السعد قرينه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والفخر خدينه))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وجمع له الدين بولاية الحرمين والدنيا بسلطان الترك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أجرى له أنهار مصر من الماء والمال))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فأعرضت عن ذلك وشغلت بما أنا عليه من التدريس والتأليف))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lastRenderedPageBreak/>
        <w:t>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واقتضيت إذن السلطان في ذلك فأسعف...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وركبت بحر السويس من الطور إلى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الينبع</w:t>
      </w:r>
      <w:proofErr w:type="spellEnd"/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ثم صعدت مع المحمل إلى مكة))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="00A075E7" w:rsidRPr="000A3ED7">
        <w:rPr>
          <w:rFonts w:ascii="Traditional Arabic" w:hAnsi="Traditional Arabic" w:cs="Traditional Arabic"/>
          <w:sz w:val="32"/>
          <w:szCs w:val="32"/>
          <w:rtl/>
        </w:rPr>
        <w:t>ثم سافرت منه إلى قوص..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.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وأعادني إلى ما عهدت من كرامته)).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مع الإشارة إلى وجود بعض الروابط السببية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ومنها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ويسرهم لأسباب السعادة بآداب دينه وشرعته ويحملهم في العناية بأمورهم))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ثم تعاون العداة عند أمير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الماخورية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وأغروه بصدِّي عنها</w:t>
      </w:r>
      <w:r w:rsidR="00142828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و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قطع أسبابي عن ولايتها)).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وكذلك بعض الروابط الزمنية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حيث نجد ذلك في قوله: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ثم خرجت عام تسعة وثمانين للحج))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(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فقضيت الفرض </w:t>
      </w:r>
      <w:proofErr w:type="spellStart"/>
      <w:r w:rsidRPr="000A3ED7">
        <w:rPr>
          <w:rFonts w:ascii="Traditional Arabic" w:hAnsi="Traditional Arabic" w:cs="Traditional Arabic"/>
          <w:sz w:val="32"/>
          <w:szCs w:val="32"/>
          <w:rtl/>
        </w:rPr>
        <w:t>عامئذٍ</w:t>
      </w:r>
      <w:proofErr w:type="spellEnd"/>
      <w:r w:rsidRPr="000A3ED7">
        <w:rPr>
          <w:rFonts w:ascii="Traditional Arabic" w:hAnsi="Traditional Arabic" w:cs="Traditional Arabic"/>
          <w:sz w:val="32"/>
          <w:szCs w:val="32"/>
          <w:rtl/>
        </w:rPr>
        <w:t>)).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أما الروابط المكانية فتتمثل في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: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المالكية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بين القصرين التي عُين فيها ابن خلدون مدرِّس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="00A075E7" w:rsidRPr="000A3ED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لذلك أنشأ هذه الخطبة في يوم افتتاحها.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وكذلك تعددت الأماكن التي ذكرها وقام بزيارتها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5E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و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منها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 مكة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بحر السويس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ساحل القصير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قوص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بحر النيل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وصول</w:t>
      </w:r>
      <w:r w:rsidR="002276C0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ًا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إلى مصر.</w:t>
      </w:r>
    </w:p>
    <w:p w:rsidR="002E5D61" w:rsidRPr="000A3ED7" w:rsidRDefault="002E5D61" w:rsidP="00840EEC">
      <w:pPr>
        <w:bidi/>
        <w:spacing w:after="120" w:line="264" w:lineRule="auto"/>
        <w:ind w:firstLine="397"/>
        <w:jc w:val="both"/>
        <w:rPr>
          <w:sz w:val="32"/>
          <w:szCs w:val="32"/>
          <w:rtl/>
        </w:rPr>
      </w:pPr>
      <w:r w:rsidRPr="000A3ED7">
        <w:rPr>
          <w:rFonts w:ascii="Traditional Arabic" w:hAnsi="Traditional Arabic" w:cs="Traditional Arabic"/>
          <w:sz w:val="32"/>
          <w:szCs w:val="32"/>
          <w:rtl/>
        </w:rPr>
        <w:t>وعليه فالخطبة قائمة على المنطقية التي تجعلها علاقة تكامل من حيث البنية</w:t>
      </w:r>
      <w:r w:rsidR="000F1CFC" w:rsidRPr="000A3E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الكبرى</w:t>
      </w:r>
      <w:r w:rsidR="008B6DB4"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،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 xml:space="preserve"> وكذلك من ناحية البنية الصغرى؛ المكونة لها مما يجعلها في علاقة ترابط من حيث المضمون الذي يخدم المحور </w:t>
      </w:r>
      <w:r w:rsidRPr="000A3ED7">
        <w:rPr>
          <w:rFonts w:ascii="Traditional Arabic" w:hAnsi="Traditional Arabic" w:cs="Traditional Arabic"/>
          <w:color w:val="FF0000"/>
          <w:sz w:val="32"/>
          <w:szCs w:val="32"/>
          <w:rtl/>
        </w:rPr>
        <w:t>الأساس</w:t>
      </w:r>
      <w:r w:rsidR="00A075E7" w:rsidRPr="000A3ED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ي</w:t>
      </w:r>
      <w:r w:rsidRPr="000A3ED7">
        <w:rPr>
          <w:rFonts w:ascii="Traditional Arabic" w:hAnsi="Traditional Arabic" w:cs="Traditional Arabic"/>
          <w:sz w:val="32"/>
          <w:szCs w:val="32"/>
          <w:rtl/>
        </w:rPr>
        <w:t>: شكر وتكريم السلطان الظاهر</w:t>
      </w:r>
      <w:r w:rsidRPr="000A3ED7">
        <w:rPr>
          <w:sz w:val="32"/>
          <w:szCs w:val="32"/>
          <w:rtl/>
        </w:rPr>
        <w:t>.</w:t>
      </w:r>
    </w:p>
    <w:p w:rsidR="000F1CFC" w:rsidRPr="000A3ED7" w:rsidRDefault="000F1CFC" w:rsidP="00840EEC">
      <w:pPr>
        <w:bidi/>
        <w:spacing w:after="120" w:line="264" w:lineRule="auto"/>
        <w:ind w:firstLine="397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0F1CFC" w:rsidRPr="000A3ED7" w:rsidSect="00A818DD">
      <w:footnotePr>
        <w:numRestart w:val="eachPage"/>
      </w:footnotePr>
      <w:pgSz w:w="12240" w:h="15840"/>
      <w:pgMar w:top="1701" w:right="1985" w:bottom="1701" w:left="1985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3D" w:rsidRDefault="008D043D" w:rsidP="002E5D61">
      <w:pPr>
        <w:spacing w:after="0" w:line="240" w:lineRule="auto"/>
      </w:pPr>
      <w:r>
        <w:separator/>
      </w:r>
    </w:p>
  </w:endnote>
  <w:endnote w:type="continuationSeparator" w:id="0">
    <w:p w:rsidR="008D043D" w:rsidRDefault="008D043D" w:rsidP="002E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3D" w:rsidRDefault="008D043D" w:rsidP="00C874BB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:rsidR="008D043D" w:rsidRDefault="008D043D" w:rsidP="002E5D61">
      <w:pPr>
        <w:spacing w:after="0" w:line="240" w:lineRule="auto"/>
      </w:pPr>
      <w:r>
        <w:continuationSeparator/>
      </w:r>
    </w:p>
  </w:footnote>
  <w:footnote w:id="1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محمد العمري: في بلاغة الخطاب الإقناعي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67.</w:t>
      </w:r>
    </w:p>
  </w:footnote>
  <w:footnote w:id="2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lang w:val="en-GB"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: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1010.</w:t>
      </w:r>
    </w:p>
  </w:footnote>
  <w:footnote w:id="3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ص1111وما بعدها.</w:t>
      </w:r>
    </w:p>
  </w:footnote>
  <w:footnote w:id="4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السابق.</w:t>
      </w:r>
    </w:p>
  </w:footnote>
  <w:footnote w:id="5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السابق.</w:t>
      </w:r>
    </w:p>
  </w:footnote>
  <w:footnote w:id="6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نفسه.</w:t>
      </w:r>
    </w:p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Fonts w:ascii="Traditional Arabic" w:hAnsi="Traditional Arabic" w:cs="Traditional Arabic"/>
          <w:sz w:val="24"/>
          <w:szCs w:val="24"/>
          <w:rtl/>
        </w:rPr>
        <w:t>*هكذا في الأصل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والصحيح 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(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تخشَ) بحذف حرف العلة.</w:t>
      </w:r>
    </w:p>
  </w:footnote>
  <w:footnote w:id="7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أحمد </w:t>
      </w:r>
      <w:proofErr w:type="spellStart"/>
      <w:r w:rsidRPr="000A3ED7">
        <w:rPr>
          <w:rFonts w:ascii="Traditional Arabic" w:hAnsi="Traditional Arabic" w:cs="Traditional Arabic"/>
          <w:sz w:val="24"/>
          <w:szCs w:val="24"/>
          <w:rtl/>
        </w:rPr>
        <w:t>الحوفي</w:t>
      </w:r>
      <w:proofErr w:type="spellEnd"/>
      <w:r w:rsidRPr="000A3ED7">
        <w:rPr>
          <w:rFonts w:ascii="Traditional Arabic" w:hAnsi="Traditional Arabic" w:cs="Traditional Arabic"/>
          <w:sz w:val="24"/>
          <w:szCs w:val="24"/>
          <w:rtl/>
        </w:rPr>
        <w:t>، فن الخطابة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117.</w:t>
      </w:r>
    </w:p>
  </w:footnote>
  <w:footnote w:id="8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محمد العمري: فن بلاغة الخطاب الإقناعي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139.</w:t>
      </w:r>
    </w:p>
  </w:footnote>
  <w:footnote w:id="9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الطبري: جامع البيان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59.</w:t>
      </w:r>
    </w:p>
  </w:footnote>
  <w:footnote w:id="10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القلقشندي: صبح الأعشى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ج 6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224.</w:t>
      </w:r>
    </w:p>
    <w:p w:rsidR="000A3ED7" w:rsidRPr="000A3ED7" w:rsidRDefault="000A3ED7" w:rsidP="000A3ED7">
      <w:pPr>
        <w:pStyle w:val="a3"/>
        <w:bidi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*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الحديث رواه..........</w:t>
      </w:r>
    </w:p>
  </w:footnote>
  <w:footnote w:id="11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العسكري: الصناعتين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457.</w:t>
      </w:r>
    </w:p>
  </w:footnote>
  <w:footnote w:id="12">
    <w:p w:rsidR="000A3ED7" w:rsidRPr="000A3ED7" w:rsidRDefault="000A3ED7" w:rsidP="0011203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: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1107-1108.</w:t>
      </w:r>
    </w:p>
  </w:footnote>
  <w:footnote w:id="13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ص1108.</w:t>
      </w:r>
    </w:p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Fonts w:ascii="Traditional Arabic" w:hAnsi="Traditional Arabic" w:cs="Traditional Arabic"/>
          <w:sz w:val="24"/>
          <w:szCs w:val="24"/>
        </w:rPr>
        <w:t>*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سورة الأحزاب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الآية 56.</w:t>
      </w:r>
    </w:p>
  </w:footnote>
  <w:footnote w:id="14">
    <w:p w:rsidR="000A3ED7" w:rsidRPr="000A3ED7" w:rsidRDefault="000A3ED7" w:rsidP="000A3ED7">
      <w:pPr>
        <w:pStyle w:val="a3"/>
        <w:bidi/>
        <w:ind w:left="397" w:hanging="397"/>
        <w:jc w:val="both"/>
        <w:rPr>
          <w:rFonts w:ascii="Traditional Arabic" w:hAnsi="Traditional Arabic" w:cs="Traditional Arabic"/>
          <w:color w:val="FF0000"/>
          <w:sz w:val="24"/>
          <w:szCs w:val="24"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القلقشندي: صبح الأعشى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ج 6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227.</w:t>
      </w:r>
    </w:p>
  </w:footnote>
  <w:footnote w:id="15">
    <w:p w:rsidR="000A3ED7" w:rsidRPr="00221CC0" w:rsidRDefault="000A3ED7" w:rsidP="000A3ED7">
      <w:pPr>
        <w:pStyle w:val="a3"/>
        <w:widowControl w:val="0"/>
        <w:bidi/>
        <w:ind w:left="454" w:hanging="454"/>
        <w:jc w:val="both"/>
        <w:rPr>
          <w:rFonts w:ascii="Traditional Arabic" w:hAnsi="Traditional Arabic" w:cs="Traditional Arabic"/>
          <w:color w:val="FF0000"/>
          <w:sz w:val="24"/>
          <w:szCs w:val="24"/>
          <w:rtl/>
        </w:rPr>
      </w:pPr>
      <w:r w:rsidRPr="00221CC0">
        <w:rPr>
          <w:rFonts w:ascii="Traditional Arabic" w:hAnsi="Traditional Arabic" w:cs="Traditional Arabic"/>
          <w:color w:val="FF0000"/>
          <w:sz w:val="24"/>
          <w:szCs w:val="24"/>
        </w:rPr>
        <w:t>(</w:t>
      </w:r>
      <w:r w:rsidRPr="00221CC0">
        <w:rPr>
          <w:rStyle w:val="a4"/>
          <w:rFonts w:ascii="Traditional Arabic" w:hAnsi="Traditional Arabic" w:cs="Traditional Arabic"/>
          <w:color w:val="FF0000"/>
          <w:sz w:val="24"/>
          <w:szCs w:val="24"/>
          <w:vertAlign w:val="baseline"/>
        </w:rPr>
        <w:footnoteRef/>
      </w:r>
      <w:r w:rsidRPr="00221CC0">
        <w:rPr>
          <w:rFonts w:ascii="Traditional Arabic" w:hAnsi="Traditional Arabic" w:cs="Traditional Arabic"/>
          <w:color w:val="FF0000"/>
          <w:sz w:val="24"/>
          <w:szCs w:val="24"/>
        </w:rPr>
        <w:t>)</w:t>
      </w:r>
      <w:r w:rsidR="00221CC0" w:rsidRPr="00221CC0">
        <w:rPr>
          <w:rFonts w:ascii="Traditional Arabic" w:hAnsi="Traditional Arabic" w:cs="Traditional Arabic"/>
          <w:color w:val="FF0000"/>
          <w:sz w:val="24"/>
          <w:szCs w:val="24"/>
          <w:rtl/>
        </w:rPr>
        <w:t xml:space="preserve"> </w:t>
      </w:r>
      <w:r w:rsidR="00221CC0" w:rsidRPr="00221CC0">
        <w:rPr>
          <w:rFonts w:ascii="Traditional Arabic" w:hAnsi="Traditional Arabic" w:cs="Traditional Arabic"/>
          <w:color w:val="FF0000"/>
          <w:sz w:val="24"/>
          <w:szCs w:val="24"/>
          <w:rtl/>
        </w:rPr>
        <w:t>المصدر نفسه، ص 227.</w:t>
      </w:r>
    </w:p>
  </w:footnote>
  <w:footnote w:id="16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1109.</w:t>
      </w:r>
    </w:p>
  </w:footnote>
  <w:footnote w:id="17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الزبيدي: التاج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 10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 150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الفيروزآبادي: القاموس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334.</w:t>
      </w:r>
    </w:p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Fonts w:ascii="Traditional Arabic" w:hAnsi="Traditional Arabic" w:cs="Traditional Arabic"/>
          <w:sz w:val="24"/>
          <w:szCs w:val="24"/>
          <w:rtl/>
        </w:rPr>
        <w:t>(*) سورة البينة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آية 8.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يقول تعالى: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"رضي الله عنهم ورضوا عنه".</w:t>
      </w:r>
    </w:p>
  </w:footnote>
  <w:footnote w:id="18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 1108-1109.</w:t>
      </w:r>
    </w:p>
  </w:footnote>
  <w:footnote w:id="19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1109.</w:t>
      </w:r>
    </w:p>
  </w:footnote>
  <w:footnote w:id="20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1109.</w:t>
      </w:r>
    </w:p>
  </w:footnote>
  <w:footnote w:id="21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1110.</w:t>
      </w:r>
    </w:p>
  </w:footnote>
  <w:footnote w:id="22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محمد العمري: في بلاغة الخطاب الإقناعي. ص 139.</w:t>
      </w:r>
    </w:p>
  </w:footnote>
  <w:footnote w:id="23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القلقشندي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: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صبح الأعشى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ج 6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231.</w:t>
      </w:r>
    </w:p>
  </w:footnote>
  <w:footnote w:id="24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الفيروزآبادي: القاموس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م1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63.</w:t>
      </w:r>
    </w:p>
  </w:footnote>
  <w:footnote w:id="25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 1110.</w:t>
      </w:r>
    </w:p>
  </w:footnote>
  <w:footnote w:id="26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محمد العمري: في بلاغة الخطاب الإقناعي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139.</w:t>
      </w:r>
    </w:p>
  </w:footnote>
  <w:footnote w:id="27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1110-1111.</w:t>
      </w:r>
    </w:p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gramStart"/>
      <w:r w:rsidRPr="000A3ED7">
        <w:rPr>
          <w:rFonts w:ascii="Traditional Arabic" w:hAnsi="Traditional Arabic" w:cs="Traditional Arabic"/>
          <w:sz w:val="24"/>
          <w:szCs w:val="24"/>
          <w:rtl/>
        </w:rPr>
        <w:t>*)</w:t>
      </w:r>
      <w:proofErr w:type="spellStart"/>
      <w:r w:rsidRPr="000A3ED7">
        <w:rPr>
          <w:rFonts w:ascii="Traditional Arabic" w:hAnsi="Traditional Arabic" w:cs="Traditional Arabic"/>
          <w:sz w:val="24"/>
          <w:szCs w:val="24"/>
          <w:rtl/>
        </w:rPr>
        <w:t>جهركس</w:t>
      </w:r>
      <w:proofErr w:type="spellEnd"/>
      <w:proofErr w:type="gramEnd"/>
      <w:r w:rsidRPr="000A3ED7">
        <w:rPr>
          <w:rFonts w:ascii="Traditional Arabic" w:hAnsi="Traditional Arabic" w:cs="Traditional Arabic"/>
          <w:sz w:val="24"/>
          <w:szCs w:val="24"/>
          <w:rtl/>
        </w:rPr>
        <w:t>: ضبط في المنهل (</w:t>
      </w:r>
      <w:proofErr w:type="spellStart"/>
      <w:r w:rsidRPr="000A3ED7">
        <w:rPr>
          <w:rFonts w:ascii="Traditional Arabic" w:hAnsi="Traditional Arabic" w:cs="Traditional Arabic"/>
          <w:sz w:val="24"/>
          <w:szCs w:val="24"/>
          <w:rtl/>
        </w:rPr>
        <w:t>جاركس</w:t>
      </w:r>
      <w:proofErr w:type="spellEnd"/>
      <w:r w:rsidRPr="000A3ED7">
        <w:rPr>
          <w:rFonts w:ascii="Traditional Arabic" w:hAnsi="Traditional Arabic" w:cs="Traditional Arabic"/>
          <w:sz w:val="24"/>
          <w:szCs w:val="24"/>
          <w:rtl/>
        </w:rPr>
        <w:t>) وهو لفظ أعجمي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معناه: أربعة أنفس.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(المصدر السابق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هامش ص 113).</w:t>
      </w:r>
    </w:p>
  </w:footnote>
  <w:footnote w:id="28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حازم </w:t>
      </w:r>
      <w:proofErr w:type="spellStart"/>
      <w:r w:rsidRPr="000A3ED7">
        <w:rPr>
          <w:rFonts w:ascii="Traditional Arabic" w:hAnsi="Traditional Arabic" w:cs="Traditional Arabic"/>
          <w:sz w:val="24"/>
          <w:szCs w:val="24"/>
          <w:rtl/>
        </w:rPr>
        <w:t>القرطاجني</w:t>
      </w:r>
      <w:proofErr w:type="spellEnd"/>
      <w:r w:rsidRPr="000A3ED7">
        <w:rPr>
          <w:rFonts w:ascii="Traditional Arabic" w:hAnsi="Traditional Arabic" w:cs="Traditional Arabic"/>
          <w:sz w:val="24"/>
          <w:szCs w:val="24"/>
          <w:rtl/>
        </w:rPr>
        <w:t>: المنهاج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170.</w:t>
      </w:r>
    </w:p>
  </w:footnote>
  <w:footnote w:id="29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1111.</w:t>
      </w:r>
    </w:p>
  </w:footnote>
  <w:footnote w:id="30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1112.</w:t>
      </w:r>
    </w:p>
  </w:footnote>
  <w:footnote w:id="31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 112-113.</w:t>
      </w:r>
    </w:p>
  </w:footnote>
  <w:footnote w:id="32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خلدون: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م14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 113-114.</w:t>
      </w:r>
    </w:p>
  </w:footnote>
  <w:footnote w:id="33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السابق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114.</w:t>
      </w:r>
    </w:p>
  </w:footnote>
  <w:footnote w:id="34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ابن خلدون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: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التاريخ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م 14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115.</w:t>
      </w:r>
    </w:p>
  </w:footnote>
  <w:footnote w:id="35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115-116.</w:t>
      </w:r>
    </w:p>
  </w:footnote>
  <w:footnote w:id="36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ص 1116.</w:t>
      </w:r>
    </w:p>
  </w:footnote>
  <w:footnote w:id="37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والصفحة.</w:t>
      </w:r>
    </w:p>
  </w:footnote>
  <w:footnote w:id="38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117.</w:t>
      </w:r>
    </w:p>
  </w:footnote>
  <w:footnote w:id="39">
    <w:p w:rsidR="000A3ED7" w:rsidRPr="000A3ED7" w:rsidRDefault="000A3ED7" w:rsidP="00A818DD">
      <w:pPr>
        <w:pStyle w:val="a3"/>
        <w:bidi/>
        <w:ind w:left="397" w:hanging="3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>(</w:t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footnoteRef/>
      </w:r>
      <w:r w:rsidRPr="000A3ED7">
        <w:rPr>
          <w:rStyle w:val="a4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>المصدر نفسه</w:t>
      </w:r>
      <w:r w:rsidRPr="000A3ED7">
        <w:rPr>
          <w:rFonts w:ascii="Traditional Arabic" w:hAnsi="Traditional Arabic" w:cs="Traditional Arabic"/>
          <w:color w:val="FF0000"/>
          <w:sz w:val="24"/>
          <w:szCs w:val="24"/>
          <w:rtl/>
        </w:rPr>
        <w:t>،</w:t>
      </w:r>
      <w:r w:rsidRPr="000A3ED7">
        <w:rPr>
          <w:rFonts w:ascii="Traditional Arabic" w:hAnsi="Traditional Arabic" w:cs="Traditional Arabic"/>
          <w:sz w:val="24"/>
          <w:szCs w:val="24"/>
          <w:rtl/>
        </w:rPr>
        <w:t xml:space="preserve"> ص 1117.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69A"/>
    <w:multiLevelType w:val="hybridMultilevel"/>
    <w:tmpl w:val="E3BC2FDA"/>
    <w:lvl w:ilvl="0" w:tplc="59B843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D61"/>
    <w:rsid w:val="000A3ED7"/>
    <w:rsid w:val="000F1CFC"/>
    <w:rsid w:val="0011203D"/>
    <w:rsid w:val="00142828"/>
    <w:rsid w:val="001E0864"/>
    <w:rsid w:val="00221CC0"/>
    <w:rsid w:val="002276C0"/>
    <w:rsid w:val="002A4F8D"/>
    <w:rsid w:val="002E5D61"/>
    <w:rsid w:val="00745C27"/>
    <w:rsid w:val="00840EEC"/>
    <w:rsid w:val="008B6DB4"/>
    <w:rsid w:val="008D043D"/>
    <w:rsid w:val="00A075E7"/>
    <w:rsid w:val="00A818DD"/>
    <w:rsid w:val="00B02C37"/>
    <w:rsid w:val="00B6039A"/>
    <w:rsid w:val="00BB2320"/>
    <w:rsid w:val="00C874BB"/>
    <w:rsid w:val="00D00697"/>
    <w:rsid w:val="00DD5225"/>
    <w:rsid w:val="00E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E71F7"/>
  <w15:docId w15:val="{C8301E42-B571-4CAC-B2C9-2CC7086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2E5D61"/>
    <w:pPr>
      <w:spacing w:after="0" w:line="240" w:lineRule="auto"/>
    </w:pPr>
    <w:rPr>
      <w:rFonts w:ascii="Arial" w:eastAsia="Times New Roman" w:hAnsi="Arial" w:cs="Arial"/>
      <w:sz w:val="20"/>
      <w:szCs w:val="25"/>
    </w:rPr>
  </w:style>
  <w:style w:type="character" w:customStyle="1" w:styleId="Char">
    <w:name w:val="نص حاشية سفلية Char"/>
    <w:basedOn w:val="a0"/>
    <w:link w:val="a3"/>
    <w:uiPriority w:val="99"/>
    <w:rsid w:val="002E5D61"/>
    <w:rPr>
      <w:rFonts w:ascii="Arial" w:eastAsia="Times New Roman" w:hAnsi="Arial" w:cs="Arial"/>
      <w:sz w:val="20"/>
      <w:szCs w:val="25"/>
    </w:rPr>
  </w:style>
  <w:style w:type="character" w:styleId="a4">
    <w:name w:val="footnote reference"/>
    <w:basedOn w:val="a0"/>
    <w:uiPriority w:val="99"/>
    <w:unhideWhenUsed/>
    <w:rsid w:val="002E5D6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Majma3ullughah</cp:lastModifiedBy>
  <cp:revision>10</cp:revision>
  <dcterms:created xsi:type="dcterms:W3CDTF">2016-09-06T11:05:00Z</dcterms:created>
  <dcterms:modified xsi:type="dcterms:W3CDTF">2016-10-06T07:12:00Z</dcterms:modified>
</cp:coreProperties>
</file>