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aditional Arabic" w:cs="Traditional Arabic" w:eastAsia="Traditional Arabic" w:hAnsi="Traditional Arabic"/>
          <w:b w:val="1"/>
          <w:sz w:val="40"/>
          <w:szCs w:val="4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الجاحظ</w:t>
      </w:r>
    </w:p>
    <w:p w:rsidR="00000000" w:rsidDel="00000000" w:rsidP="00000000" w:rsidRDefault="00000000" w:rsidRPr="00000000" w14:paraId="00000002">
      <w:pPr>
        <w:jc w:val="center"/>
        <w:rPr>
          <w:rFonts w:ascii="Traditional Arabic" w:cs="Traditional Arabic" w:eastAsia="Traditional Arabic" w:hAnsi="Traditional Arabic"/>
          <w:b w:val="1"/>
          <w:sz w:val="40"/>
          <w:szCs w:val="4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الأديب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الظ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1"/>
        </w:rPr>
        <w:t xml:space="preserve">ريف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rtl w:val="0"/>
        </w:rPr>
        <w:t xml:space="preserve">ُ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شوقي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المعري</w:t>
      </w:r>
    </w:p>
    <w:p w:rsidR="00000000" w:rsidDel="00000000" w:rsidP="00000000" w:rsidRDefault="00000000" w:rsidRPr="00000000" w14:paraId="00000005">
      <w:pPr>
        <w:jc w:val="right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بحر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محبوب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عثمان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سميته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جاحظت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ناتئت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159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/775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رعرع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وأحب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الكتاتيب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والمساجد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والمعرفة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كاكين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وصناعت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طالع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فتثق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ثقافة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أضاف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ثقافته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الكتاتيب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ويأخذها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الموارد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مناهل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صافية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ً....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الخبز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منطقة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سيحان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بالبصرة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تطاع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الفقر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تاجر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ينصرف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جالسة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وسماع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الأسواق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اشتهرت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وانتشرت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أكمل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قراءت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واستوعب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شيوخ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وأدباء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فأخذ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والحديث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زاح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أخذ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الفلسفي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مرتبة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قسما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الفارسي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وأتقنها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تشرت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الألفاظ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معروفا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ونظر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درس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الفلسفة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والمنطق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والرياضيات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اريخ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والسياسة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والأخلاق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وأبدع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والأخبار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والأشعار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درس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مؤل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موضوعاتها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شهرته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بدأت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عظم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الأماكن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بوغ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يؤل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ووصل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والأمراء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المأمون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عجب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وبكت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فأحضر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نصبا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ثلاثة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المعتصم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أصدقاء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الوزارة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علاقات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وثيقة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وأقام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وذاع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فازدادت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بإمكان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البلاد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ثقافات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ويزيد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وخبرته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فزار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دمشق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وأنطاكية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َ.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لصديقه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أزاح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خوفا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أذى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قبض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أحضر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أسلوب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الجميل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بديهته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ورجاء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أقنع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بخصم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صديقه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القاضي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دؤاد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وصارت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علاقات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وثيقة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ولزم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القاضي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يؤل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والتبيين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خمسة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ٍ.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دؤاد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بوزير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الفتح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خاقان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وتوط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مراسلات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وصداقة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العباسيين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والولاة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والوزراء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تجاوز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الثمانين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بمرض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دعى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بالفالج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أواخر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آنذاك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مدينته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وظل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255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/868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وهناك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طريف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تتناقل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مكتبت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سقط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بصحيح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ناسبا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لطرافة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وسخريته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فأرادوا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طريفة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بقي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نشير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يتزو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أولادا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صفاته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أبرز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العصور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القديمة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فكثرت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الأخبار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والطرائف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وصارت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والضحك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التراث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المعاصرين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عيناه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جاحظتين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زتين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قصير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القامة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يسخر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وحسن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المعاشرة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وظرف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الجميلة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تصدر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بعفوي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مطبوعا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السخرية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والتهك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يؤذي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خرية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قبيل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التعويض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بشاعته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بحه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يروي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أخبارا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وطرائف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وحكايات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الأخبار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الطريفة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دمامة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أعطاه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وزيره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تأديب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رآني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منظري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بعشرة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الأخبار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امرأة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جاءت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يرافق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مشوار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قصير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فحق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صائغ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ذهب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المرأة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ائغ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وغادر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فترك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المرأة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ائغ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أرادت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المرأة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حبتني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وقالت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الجملة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قصدت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ْ؟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فأجابه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الصائغ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جاءتني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المرأة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وطلبت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أنقش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شيطان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الشيطان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أحضرت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شديد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التكس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موضوع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يدافع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هديه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عربي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يدافع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الفرس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هديه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فارسي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والمتعة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والمجون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المغن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والمغن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والموسيقا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زنذيق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انتقاد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اضطر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ويناق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مناظرات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وحوارات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امتلأت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صفحات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ِ.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مؤلفات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اختلف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القدماء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زادت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المئة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متفاوتة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الرسالة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الكبير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المكتبة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والمعارف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المتنوعة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والمختلفة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أجاد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خصبة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والفلسفة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والعقائد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الدينية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والأخلاق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الرياضي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والحسابي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والطبيعة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والموسيقى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والثقافية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ومارس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وأتق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مؤل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طلوبة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يصدر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الأيدي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قرأه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هدي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ينتشر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البلاد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والأمصار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شهرة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فحق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ثروة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مالية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صغره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ولاسيما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المشهورة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البخلاء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والجوائز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أعطاها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إياه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فثلاثة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البخلاء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وسنقد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وجزا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أوائل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الجامعة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استفاد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سائل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ختصرة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أقسام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تناول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قضايا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والتأليف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والكلب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تابع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وخصائ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وفوائ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الثالث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نافس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والخف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وغيرها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ذاكرا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الحيوانات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بتفاوت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استفاد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تأليف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سبقته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وقرأها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وأفعالا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وأشعارا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وأقوالا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بحق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موسوعة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متنو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ِ.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البخلاء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أخلاق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البخلاء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يقتصدون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قصصا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طريفة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البخلاء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عصره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ومثل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خاصا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بالبخلاء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فحسب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ولاسيما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وأنواع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الملابس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والطعام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والأحوال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فصو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تصوير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رائف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والحكايات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الطريفة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ذكرها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ِ...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البيان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والتبين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والمنطق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والفلسفة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فصولا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الخطبة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ائعة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والأخبار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المتنوعة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وخص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البيان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والبلاغة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والفصاحة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بجزء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يضع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خطة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منهجية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تبويبا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تفاوتت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الأبواب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وامتزجت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البلاغة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ينتقل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قصص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ونوادرهم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أوالخطابة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والوصايا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فينتقل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الرسائل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الشعر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...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موضوع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خاصا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معظم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العصور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واضح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وتبويب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المعاصرون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شخصي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وطرافته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وأدبه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المشهورة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4E4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2015-08-24T05:40:00Z</dcterms:created>
  <dc:creator>Marcel Basolo</dc:creator>
</cp:coreProperties>
</file>