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B8" w:rsidRPr="00115E22" w:rsidRDefault="00C244E3" w:rsidP="00EB6E3D">
      <w:pPr>
        <w:spacing w:line="360" w:lineRule="auto"/>
        <w:ind w:left="-850"/>
        <w:jc w:val="both"/>
        <w:rPr>
          <w:rFonts w:ascii="Monotype Corsiva" w:hAnsi="Monotype Corsiva" w:cstheme="majorBidi"/>
          <w:b/>
          <w:bCs/>
          <w:sz w:val="40"/>
          <w:szCs w:val="40"/>
        </w:rPr>
      </w:pPr>
      <w:r w:rsidRPr="00115E22">
        <w:rPr>
          <w:rFonts w:ascii="Monotype Corsiva" w:hAnsi="Monotype Corsiva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-504825</wp:posOffset>
            </wp:positionV>
            <wp:extent cx="2228850" cy="1981200"/>
            <wp:effectExtent l="19050" t="0" r="0" b="0"/>
            <wp:wrapNone/>
            <wp:docPr id="3" name="صورة 3" descr="الشعار الصغير المط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شعار الصغير المطو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CECFE"/>
                        </a:clrFrom>
                        <a:clrTo>
                          <a:srgbClr val="CCECFE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8B8" w:rsidRPr="00115E22">
        <w:rPr>
          <w:rFonts w:ascii="Bodoni MT Poster Compressed" w:hAnsi="Bodoni MT Poster Compressed" w:cstheme="majorBidi"/>
          <w:sz w:val="40"/>
          <w:szCs w:val="40"/>
        </w:rPr>
        <w:t>Ministry of Higher Education and Scientific Research</w:t>
      </w:r>
    </w:p>
    <w:p w:rsidR="001768B8" w:rsidRPr="00115E22" w:rsidRDefault="001768B8" w:rsidP="00DA2E01">
      <w:pPr>
        <w:spacing w:line="276" w:lineRule="auto"/>
        <w:ind w:left="-850"/>
        <w:rPr>
          <w:rFonts w:ascii="Bodoni MT Poster Compressed" w:hAnsi="Bodoni MT Poster Compressed" w:cstheme="majorBidi"/>
          <w:sz w:val="40"/>
          <w:szCs w:val="40"/>
        </w:rPr>
      </w:pPr>
      <w:r w:rsidRPr="00115E22">
        <w:rPr>
          <w:rFonts w:ascii="Bodoni MT Poster Compressed" w:hAnsi="Bodoni MT Poster Compressed" w:cstheme="majorBidi"/>
          <w:sz w:val="40"/>
          <w:szCs w:val="40"/>
        </w:rPr>
        <w:t xml:space="preserve"> University of  </w:t>
      </w:r>
      <w:r w:rsidR="00C244E3" w:rsidRPr="00115E22">
        <w:rPr>
          <w:rFonts w:ascii="Bodoni MT Poster Compressed" w:hAnsi="Bodoni MT Poster Compressed"/>
          <w:sz w:val="40"/>
          <w:szCs w:val="40"/>
          <w:lang w:bidi="ar-IQ"/>
        </w:rPr>
        <w:t>Al-</w:t>
      </w:r>
      <w:proofErr w:type="spellStart"/>
      <w:r w:rsidR="00C244E3" w:rsidRPr="00115E22">
        <w:rPr>
          <w:rFonts w:ascii="Bodoni MT Poster Compressed" w:hAnsi="Bodoni MT Poster Compressed"/>
          <w:sz w:val="40"/>
          <w:szCs w:val="40"/>
          <w:lang w:bidi="ar-IQ"/>
        </w:rPr>
        <w:t>Qadisiya</w:t>
      </w:r>
      <w:proofErr w:type="spellEnd"/>
      <w:r w:rsidRPr="00115E22">
        <w:rPr>
          <w:rFonts w:ascii="Bodoni MT Poster Compressed" w:hAnsi="Bodoni MT Poster Compressed" w:cstheme="majorBidi"/>
          <w:sz w:val="40"/>
          <w:szCs w:val="40"/>
        </w:rPr>
        <w:t xml:space="preserve">                                                                       </w:t>
      </w:r>
    </w:p>
    <w:p w:rsidR="00EB6E3D" w:rsidRPr="00115E22" w:rsidRDefault="001768B8" w:rsidP="00DA2E01">
      <w:pPr>
        <w:spacing w:line="276" w:lineRule="auto"/>
        <w:ind w:left="-850"/>
        <w:rPr>
          <w:rFonts w:ascii="Bodoni MT Poster Compressed" w:hAnsi="Bodoni MT Poster Compressed" w:cstheme="majorBidi"/>
          <w:sz w:val="40"/>
          <w:szCs w:val="40"/>
          <w:rtl/>
        </w:rPr>
      </w:pPr>
      <w:r w:rsidRPr="00115E22">
        <w:rPr>
          <w:rFonts w:ascii="Bodoni MT Poster Compressed" w:hAnsi="Bodoni MT Poster Compressed" w:cstheme="majorBidi"/>
          <w:sz w:val="40"/>
          <w:szCs w:val="40"/>
        </w:rPr>
        <w:t xml:space="preserve">   College of </w:t>
      </w:r>
      <w:r w:rsidR="00DA2E01" w:rsidRPr="00115E22">
        <w:rPr>
          <w:rFonts w:ascii="Bodoni MT Poster Compressed" w:hAnsi="Bodoni MT Poster Compressed" w:cstheme="majorBidi"/>
          <w:sz w:val="40"/>
          <w:szCs w:val="40"/>
        </w:rPr>
        <w:t xml:space="preserve"> E</w:t>
      </w:r>
      <w:r w:rsidR="00C244E3" w:rsidRPr="00115E22">
        <w:rPr>
          <w:rFonts w:ascii="Bodoni MT Poster Compressed" w:hAnsi="Bodoni MT Poster Compressed" w:cstheme="majorBidi"/>
          <w:sz w:val="40"/>
          <w:szCs w:val="40"/>
        </w:rPr>
        <w:t xml:space="preserve">ducation </w:t>
      </w:r>
      <w:r w:rsidR="00C244E3" w:rsidRPr="00115E22">
        <w:rPr>
          <w:rFonts w:ascii="Bodoni MT Poster Compressed" w:hAnsi="Bodoni MT Poster Compressed" w:cstheme="majorBidi"/>
          <w:sz w:val="40"/>
          <w:szCs w:val="40"/>
          <w:rtl/>
        </w:rPr>
        <w:t xml:space="preserve">        </w:t>
      </w:r>
    </w:p>
    <w:p w:rsidR="00EB6E3D" w:rsidRDefault="00EB6E3D" w:rsidP="00DA2E01">
      <w:pPr>
        <w:spacing w:line="276" w:lineRule="auto"/>
        <w:ind w:left="-850"/>
        <w:rPr>
          <w:rFonts w:ascii="Bodoni MT Poster Compressed" w:hAnsi="Bodoni MT Poster Compressed" w:cstheme="majorBidi"/>
          <w:sz w:val="36"/>
          <w:szCs w:val="36"/>
          <w:rtl/>
        </w:rPr>
      </w:pPr>
    </w:p>
    <w:p w:rsidR="00A76175" w:rsidRDefault="00C244E3" w:rsidP="00A76175">
      <w:pPr>
        <w:spacing w:line="276" w:lineRule="auto"/>
        <w:ind w:left="-850"/>
        <w:jc w:val="both"/>
        <w:rPr>
          <w:rFonts w:asciiTheme="majorBidi" w:hAnsiTheme="majorBidi" w:cstheme="majorBidi"/>
          <w:sz w:val="36"/>
          <w:szCs w:val="36"/>
        </w:rPr>
      </w:pPr>
      <w:r w:rsidRPr="00DA2E01">
        <w:rPr>
          <w:rFonts w:ascii="Bodoni MT Poster Compressed" w:hAnsi="Bodoni MT Poster Compressed" w:cstheme="majorBidi"/>
          <w:sz w:val="36"/>
          <w:szCs w:val="36"/>
          <w:rtl/>
        </w:rPr>
        <w:t xml:space="preserve"> </w:t>
      </w:r>
    </w:p>
    <w:p w:rsidR="001768B8" w:rsidRPr="00A775DE" w:rsidRDefault="00A775DE" w:rsidP="00A775DE">
      <w:pPr>
        <w:ind w:left="-850"/>
        <w:jc w:val="center"/>
        <w:rPr>
          <w:rFonts w:asciiTheme="majorBidi" w:hAnsiTheme="majorBidi" w:cstheme="majorBidi"/>
          <w:b/>
          <w:bCs/>
          <w:sz w:val="72"/>
          <w:szCs w:val="72"/>
          <w:lang w:bidi="ar-IQ"/>
        </w:rPr>
      </w:pPr>
      <w:r>
        <w:rPr>
          <w:b/>
          <w:bCs/>
          <w:sz w:val="72"/>
          <w:szCs w:val="72"/>
        </w:rPr>
        <w:t>Bacteriological a</w:t>
      </w:r>
      <w:r w:rsidRPr="00A775DE">
        <w:rPr>
          <w:b/>
          <w:bCs/>
          <w:sz w:val="72"/>
          <w:szCs w:val="72"/>
        </w:rPr>
        <w:t xml:space="preserve">nd </w:t>
      </w:r>
      <w:r>
        <w:rPr>
          <w:b/>
          <w:bCs/>
          <w:sz w:val="72"/>
          <w:szCs w:val="72"/>
        </w:rPr>
        <w:t>Molecular Study of Neonatal Infection i</w:t>
      </w:r>
      <w:r w:rsidRPr="00A775DE">
        <w:rPr>
          <w:b/>
          <w:bCs/>
          <w:sz w:val="72"/>
          <w:szCs w:val="72"/>
        </w:rPr>
        <w:t xml:space="preserve">n </w:t>
      </w:r>
      <w:r>
        <w:rPr>
          <w:b/>
          <w:bCs/>
          <w:sz w:val="72"/>
          <w:szCs w:val="72"/>
        </w:rPr>
        <w:t>Al-</w:t>
      </w:r>
      <w:proofErr w:type="spellStart"/>
      <w:r w:rsidRPr="00A775DE">
        <w:rPr>
          <w:b/>
          <w:bCs/>
          <w:sz w:val="72"/>
          <w:szCs w:val="72"/>
        </w:rPr>
        <w:t>Hilla</w:t>
      </w:r>
      <w:proofErr w:type="spellEnd"/>
      <w:r w:rsidRPr="00A775DE">
        <w:rPr>
          <w:b/>
          <w:bCs/>
          <w:sz w:val="72"/>
          <w:szCs w:val="72"/>
        </w:rPr>
        <w:t xml:space="preserve"> City</w:t>
      </w:r>
    </w:p>
    <w:p w:rsidR="00C244E3" w:rsidRDefault="001768B8" w:rsidP="00C244E3">
      <w:pPr>
        <w:tabs>
          <w:tab w:val="center" w:pos="4478"/>
          <w:tab w:val="left" w:pos="6078"/>
        </w:tabs>
        <w:spacing w:line="360" w:lineRule="auto"/>
        <w:jc w:val="both"/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 xml:space="preserve">                                                         </w:t>
      </w:r>
    </w:p>
    <w:p w:rsidR="001768B8" w:rsidRPr="00892326" w:rsidRDefault="001768B8" w:rsidP="00892326">
      <w:pPr>
        <w:tabs>
          <w:tab w:val="center" w:pos="4478"/>
          <w:tab w:val="left" w:pos="6078"/>
        </w:tabs>
        <w:spacing w:line="360" w:lineRule="auto"/>
        <w:jc w:val="center"/>
        <w:rPr>
          <w:rFonts w:ascii="Californian FB" w:hAnsi="Californian FB"/>
          <w:b/>
          <w:bCs/>
          <w:sz w:val="36"/>
          <w:szCs w:val="36"/>
        </w:rPr>
      </w:pPr>
      <w:r w:rsidRPr="00892326">
        <w:rPr>
          <w:rFonts w:ascii="Californian FB" w:hAnsi="Californian FB"/>
          <w:b/>
          <w:bCs/>
          <w:sz w:val="36"/>
          <w:szCs w:val="36"/>
        </w:rPr>
        <w:t>A Thesis</w:t>
      </w:r>
    </w:p>
    <w:p w:rsidR="00892326" w:rsidRDefault="00115E22" w:rsidP="00892326">
      <w:pPr>
        <w:spacing w:line="360" w:lineRule="auto"/>
        <w:ind w:left="-360" w:right="-900"/>
        <w:jc w:val="center"/>
        <w:rPr>
          <w:rFonts w:ascii="Californian FB" w:hAnsi="Californian FB"/>
          <w:b/>
          <w:bCs/>
          <w:sz w:val="32"/>
          <w:szCs w:val="32"/>
        </w:rPr>
      </w:pPr>
      <w:r w:rsidRPr="00892326">
        <w:rPr>
          <w:rFonts w:ascii="Californian FB" w:hAnsi="Californian FB"/>
          <w:b/>
          <w:bCs/>
          <w:sz w:val="32"/>
          <w:szCs w:val="32"/>
        </w:rPr>
        <w:t>Su</w:t>
      </w:r>
      <w:r w:rsidR="001768B8" w:rsidRPr="00892326">
        <w:rPr>
          <w:rFonts w:ascii="Californian FB" w:hAnsi="Californian FB"/>
          <w:b/>
          <w:bCs/>
          <w:sz w:val="32"/>
          <w:szCs w:val="32"/>
        </w:rPr>
        <w:t>bmitted to the Council of the College of</w:t>
      </w:r>
      <w:r w:rsidR="00A775DE" w:rsidRPr="00892326">
        <w:rPr>
          <w:rFonts w:ascii="Californian FB" w:hAnsi="Californian FB"/>
          <w:b/>
          <w:bCs/>
          <w:sz w:val="32"/>
          <w:szCs w:val="32"/>
        </w:rPr>
        <w:t xml:space="preserve"> E</w:t>
      </w:r>
      <w:r w:rsidR="00C244E3" w:rsidRPr="00892326">
        <w:rPr>
          <w:rFonts w:ascii="Californian FB" w:hAnsi="Californian FB"/>
          <w:b/>
          <w:bCs/>
          <w:sz w:val="32"/>
          <w:szCs w:val="32"/>
        </w:rPr>
        <w:t>ducation</w:t>
      </w:r>
      <w:r w:rsidR="001768B8" w:rsidRPr="00892326">
        <w:rPr>
          <w:rFonts w:ascii="Californian FB" w:hAnsi="Californian FB"/>
          <w:b/>
          <w:bCs/>
          <w:sz w:val="32"/>
          <w:szCs w:val="32"/>
        </w:rPr>
        <w:t>, University of</w:t>
      </w:r>
      <w:r w:rsidR="00892326" w:rsidRPr="00892326">
        <w:rPr>
          <w:rFonts w:ascii="Californian FB" w:hAnsi="Californian FB"/>
          <w:b/>
          <w:bCs/>
          <w:sz w:val="32"/>
          <w:szCs w:val="32"/>
        </w:rPr>
        <w:t xml:space="preserve"> </w:t>
      </w:r>
      <w:r w:rsidR="00DA2E01" w:rsidRPr="00892326">
        <w:rPr>
          <w:rFonts w:ascii="Californian FB" w:hAnsi="Californian FB"/>
          <w:b/>
          <w:bCs/>
          <w:sz w:val="32"/>
          <w:szCs w:val="32"/>
          <w:lang w:bidi="ar-IQ"/>
        </w:rPr>
        <w:t>Al-</w:t>
      </w:r>
      <w:proofErr w:type="spellStart"/>
      <w:r w:rsidR="00DA2E01" w:rsidRPr="00892326">
        <w:rPr>
          <w:rFonts w:ascii="Californian FB" w:hAnsi="Californian FB"/>
          <w:b/>
          <w:bCs/>
          <w:sz w:val="32"/>
          <w:szCs w:val="32"/>
          <w:lang w:bidi="ar-IQ"/>
        </w:rPr>
        <w:t>Qadisiya</w:t>
      </w:r>
      <w:proofErr w:type="spellEnd"/>
      <w:r w:rsidR="00DA2E01" w:rsidRPr="00892326">
        <w:rPr>
          <w:rFonts w:ascii="Californian FB" w:hAnsi="Californian FB"/>
          <w:b/>
          <w:bCs/>
          <w:sz w:val="32"/>
          <w:szCs w:val="32"/>
        </w:rPr>
        <w:t xml:space="preserve"> in </w:t>
      </w:r>
      <w:r w:rsidR="001768B8" w:rsidRPr="00892326">
        <w:rPr>
          <w:rFonts w:ascii="Californian FB" w:hAnsi="Californian FB"/>
          <w:b/>
          <w:bCs/>
          <w:sz w:val="32"/>
          <w:szCs w:val="32"/>
        </w:rPr>
        <w:t>Partial Fulfillment of the</w:t>
      </w:r>
      <w:r w:rsidR="009D7194" w:rsidRPr="00892326">
        <w:rPr>
          <w:rFonts w:ascii="Californian FB" w:hAnsi="Californian FB"/>
          <w:b/>
          <w:bCs/>
          <w:sz w:val="32"/>
          <w:szCs w:val="32"/>
        </w:rPr>
        <w:t xml:space="preserve"> Requirements for the </w:t>
      </w:r>
      <w:r w:rsidRPr="00892326">
        <w:rPr>
          <w:rFonts w:ascii="Californian FB" w:hAnsi="Californian FB"/>
          <w:b/>
          <w:bCs/>
          <w:sz w:val="32"/>
          <w:szCs w:val="32"/>
        </w:rPr>
        <w:t>Degree</w:t>
      </w:r>
      <w:r w:rsidR="00892326" w:rsidRPr="00892326">
        <w:rPr>
          <w:rFonts w:ascii="Californian FB" w:hAnsi="Californian FB"/>
          <w:b/>
          <w:bCs/>
          <w:sz w:val="32"/>
          <w:szCs w:val="32"/>
        </w:rPr>
        <w:t xml:space="preserve"> </w:t>
      </w:r>
      <w:r w:rsidR="00892326">
        <w:rPr>
          <w:rFonts w:ascii="Californian FB" w:hAnsi="Californian FB"/>
          <w:b/>
          <w:bCs/>
          <w:sz w:val="32"/>
          <w:szCs w:val="32"/>
        </w:rPr>
        <w:t xml:space="preserve">              </w:t>
      </w:r>
      <w:r w:rsidR="00892326" w:rsidRPr="00892326">
        <w:rPr>
          <w:rFonts w:ascii="Californian FB" w:hAnsi="Californian FB"/>
          <w:b/>
          <w:bCs/>
          <w:sz w:val="32"/>
          <w:szCs w:val="32"/>
        </w:rPr>
        <w:t>o</w:t>
      </w:r>
      <w:r w:rsidR="00A775DE" w:rsidRPr="00892326">
        <w:rPr>
          <w:rFonts w:ascii="Californian FB" w:hAnsi="Californian FB"/>
          <w:b/>
          <w:bCs/>
          <w:sz w:val="32"/>
          <w:szCs w:val="32"/>
        </w:rPr>
        <w:t xml:space="preserve">f </w:t>
      </w:r>
      <w:r w:rsidR="001768B8" w:rsidRPr="00892326">
        <w:rPr>
          <w:rFonts w:ascii="Californian FB" w:hAnsi="Californian FB"/>
          <w:b/>
          <w:bCs/>
          <w:sz w:val="32"/>
          <w:szCs w:val="32"/>
        </w:rPr>
        <w:t>Doctor</w:t>
      </w:r>
      <w:r w:rsidR="00460C47">
        <w:rPr>
          <w:rFonts w:ascii="Californian FB" w:hAnsi="Californian FB"/>
          <w:b/>
          <w:bCs/>
          <w:sz w:val="32"/>
          <w:szCs w:val="32"/>
        </w:rPr>
        <w:t>ate</w:t>
      </w:r>
      <w:r w:rsidR="001768B8" w:rsidRPr="00892326">
        <w:rPr>
          <w:rFonts w:ascii="Californian FB" w:hAnsi="Californian FB"/>
          <w:b/>
          <w:bCs/>
          <w:sz w:val="32"/>
          <w:szCs w:val="32"/>
        </w:rPr>
        <w:t xml:space="preserve"> of Philosophy</w:t>
      </w:r>
      <w:r w:rsidR="001768B8" w:rsidRPr="00892326">
        <w:rPr>
          <w:rFonts w:ascii="Californian FB" w:eastAsia="Calibri" w:hAnsi="Californian FB"/>
          <w:b/>
          <w:bCs/>
          <w:sz w:val="32"/>
          <w:szCs w:val="32"/>
        </w:rPr>
        <w:t xml:space="preserve"> in </w:t>
      </w:r>
      <w:r w:rsidRPr="00892326">
        <w:rPr>
          <w:rFonts w:ascii="Californian FB" w:eastAsia="Gulim" w:hAnsi="Californian FB"/>
          <w:b/>
          <w:bCs/>
          <w:sz w:val="32"/>
          <w:szCs w:val="32"/>
          <w:lang w:bidi="ar-IQ"/>
        </w:rPr>
        <w:t>Microbiology</w:t>
      </w:r>
    </w:p>
    <w:p w:rsidR="001768B8" w:rsidRPr="00892326" w:rsidRDefault="007F55AC" w:rsidP="00892326">
      <w:pPr>
        <w:spacing w:line="360" w:lineRule="auto"/>
        <w:ind w:left="-360" w:right="-900"/>
        <w:rPr>
          <w:rFonts w:ascii="Californian FB" w:hAnsi="Californian FB"/>
          <w:b/>
          <w:bCs/>
          <w:sz w:val="32"/>
          <w:szCs w:val="32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17.5pt;width:382.95pt;height:32.55pt;z-index:251660288" filled="f" stroked="f">
            <v:textbox style="mso-next-textbox:#_x0000_s1026">
              <w:txbxContent>
                <w:p w:rsidR="001768B8" w:rsidRDefault="00115E22" w:rsidP="001768B8">
                  <w:pPr>
                    <w:rPr>
                      <w:rFonts w:asciiTheme="majorBidi" w:hAnsiTheme="majorBidi" w:cstheme="majorBidi"/>
                      <w:szCs w:val="48"/>
                    </w:rPr>
                  </w:pPr>
                  <w:r>
                    <w:rPr>
                      <w:rFonts w:ascii="Monotype Corsiva" w:hAnsi="Monotype Corsiva" w:cs="FreesiaUPC"/>
                      <w:b/>
                      <w:bCs/>
                      <w:sz w:val="48"/>
                      <w:szCs w:val="48"/>
                      <w:lang w:val="de-DE"/>
                    </w:rPr>
                    <w:t xml:space="preserve">        </w:t>
                  </w:r>
                  <w:r w:rsidR="001768B8" w:rsidRPr="00186A7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lang w:val="de-DE"/>
                    </w:rPr>
                    <w:t xml:space="preserve">Amal Talib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lang w:val="de-DE"/>
                    </w:rPr>
                    <w:t xml:space="preserve">Atiyah </w:t>
                  </w:r>
                  <w:r w:rsidR="001768B8" w:rsidRPr="00186A7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lang w:val="de-DE"/>
                    </w:rPr>
                    <w:t>Als</w:t>
                  </w:r>
                  <w:r w:rsidR="00EB6E3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lang w:val="de-DE"/>
                    </w:rPr>
                    <w:t>a'</w:t>
                  </w:r>
                  <w:r w:rsidR="001768B8" w:rsidRPr="00186A7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lang w:val="de-DE"/>
                    </w:rPr>
                    <w:t>ady</w:t>
                  </w:r>
                </w:p>
                <w:p w:rsidR="00A775DE" w:rsidRPr="00186A73" w:rsidRDefault="00A775DE" w:rsidP="001768B8">
                  <w:pPr>
                    <w:rPr>
                      <w:rFonts w:asciiTheme="majorBidi" w:hAnsiTheme="majorBidi" w:cstheme="majorBidi"/>
                      <w:szCs w:val="48"/>
                    </w:rPr>
                  </w:pPr>
                </w:p>
              </w:txbxContent>
            </v:textbox>
            <w10:wrap anchorx="page"/>
          </v:shape>
        </w:pict>
      </w:r>
      <w:r w:rsidR="00892326">
        <w:rPr>
          <w:rFonts w:ascii="Californian FB" w:hAnsi="Californian FB"/>
          <w:b/>
          <w:bCs/>
          <w:sz w:val="32"/>
          <w:szCs w:val="32"/>
        </w:rPr>
        <w:t xml:space="preserve">  </w:t>
      </w:r>
      <w:r w:rsidR="001768B8" w:rsidRPr="00A76175">
        <w:rPr>
          <w:b/>
          <w:bCs/>
          <w:sz w:val="36"/>
          <w:szCs w:val="36"/>
          <w:lang w:bidi="ar-IQ"/>
        </w:rPr>
        <w:t xml:space="preserve">                                             </w:t>
      </w:r>
      <w:r w:rsidR="001768B8" w:rsidRPr="00A76175">
        <w:rPr>
          <w:rFonts w:ascii="Monotype Corsiva" w:hAnsi="Monotype Corsiva"/>
          <w:b/>
          <w:bCs/>
          <w:sz w:val="36"/>
          <w:szCs w:val="36"/>
        </w:rPr>
        <w:t>By</w:t>
      </w:r>
    </w:p>
    <w:p w:rsidR="001768B8" w:rsidRDefault="001768B8" w:rsidP="001768B8">
      <w:pPr>
        <w:tabs>
          <w:tab w:val="left" w:pos="2796"/>
        </w:tabs>
        <w:jc w:val="center"/>
        <w:rPr>
          <w:lang w:bidi="ar-IQ"/>
        </w:rPr>
      </w:pPr>
    </w:p>
    <w:p w:rsidR="001768B8" w:rsidRPr="00A76175" w:rsidRDefault="001768B8" w:rsidP="001768B8">
      <w:pPr>
        <w:tabs>
          <w:tab w:val="left" w:pos="2796"/>
        </w:tabs>
        <w:jc w:val="center"/>
        <w:rPr>
          <w:b/>
          <w:bCs/>
          <w:lang w:bidi="ar-IQ"/>
        </w:rPr>
      </w:pPr>
    </w:p>
    <w:p w:rsidR="00A775DE" w:rsidRPr="00920030" w:rsidRDefault="00A775DE" w:rsidP="00920030">
      <w:pPr>
        <w:bidi/>
        <w:spacing w:line="276" w:lineRule="auto"/>
        <w:jc w:val="center"/>
        <w:rPr>
          <w:rFonts w:ascii="Bodoni MT" w:hAnsi="Bodoni MT"/>
          <w:b/>
          <w:bCs/>
          <w:sz w:val="28"/>
          <w:szCs w:val="28"/>
          <w:lang w:bidi="ar-IQ"/>
        </w:rPr>
      </w:pPr>
      <w:r w:rsidRPr="00A775DE">
        <w:rPr>
          <w:rFonts w:ascii="Bodoni MT" w:hAnsi="Bodoni MT"/>
          <w:b/>
          <w:bCs/>
          <w:sz w:val="28"/>
          <w:szCs w:val="28"/>
          <w:lang w:bidi="ar-IQ"/>
        </w:rPr>
        <w:t>B. Sc/</w:t>
      </w:r>
      <w:r w:rsidR="00920030">
        <w:rPr>
          <w:rFonts w:ascii="Bodoni MT" w:hAnsi="Bodoni MT"/>
          <w:b/>
          <w:bCs/>
          <w:sz w:val="28"/>
          <w:szCs w:val="28"/>
          <w:lang w:bidi="ar-IQ"/>
        </w:rPr>
        <w:t xml:space="preserve"> </w:t>
      </w:r>
      <w:r w:rsidRPr="00A775DE">
        <w:rPr>
          <w:rFonts w:ascii="Bodoni MT" w:hAnsi="Bodoni MT"/>
          <w:b/>
          <w:bCs/>
          <w:sz w:val="28"/>
          <w:szCs w:val="28"/>
          <w:lang w:bidi="ar-IQ"/>
        </w:rPr>
        <w:t>Biology</w:t>
      </w:r>
      <w:r w:rsidR="00920030">
        <w:rPr>
          <w:rFonts w:ascii="Bodoni MT" w:hAnsi="Bodoni MT"/>
          <w:b/>
          <w:bCs/>
          <w:sz w:val="28"/>
          <w:szCs w:val="28"/>
          <w:lang w:bidi="ar-IQ"/>
        </w:rPr>
        <w:t xml:space="preserve"> </w:t>
      </w:r>
      <w:r w:rsidR="00920030" w:rsidRPr="00920030">
        <w:rPr>
          <w:rFonts w:ascii="Bodoni MT" w:hAnsi="Bodoni MT"/>
          <w:b/>
          <w:bCs/>
          <w:sz w:val="28"/>
          <w:szCs w:val="28"/>
          <w:lang w:bidi="ar-IQ"/>
        </w:rPr>
        <w:t>/</w:t>
      </w:r>
      <w:r w:rsidRPr="00920030">
        <w:rPr>
          <w:rFonts w:ascii="Bodoni MT" w:hAnsi="Bodoni MT"/>
          <w:b/>
          <w:bCs/>
          <w:sz w:val="28"/>
          <w:szCs w:val="28"/>
          <w:lang w:bidi="ar-IQ"/>
        </w:rPr>
        <w:t xml:space="preserve"> 1994</w:t>
      </w:r>
    </w:p>
    <w:p w:rsidR="001768B8" w:rsidRPr="00920030" w:rsidRDefault="00920030" w:rsidP="001768B8">
      <w:pPr>
        <w:jc w:val="center"/>
        <w:rPr>
          <w:rFonts w:ascii="Bodoni MT" w:hAnsi="Bodoni MT"/>
          <w:b/>
          <w:bCs/>
          <w:sz w:val="28"/>
          <w:szCs w:val="28"/>
          <w:rtl/>
        </w:rPr>
      </w:pPr>
      <w:r>
        <w:rPr>
          <w:rFonts w:ascii="Bodoni MT" w:eastAsia="Gulim" w:hAnsi="Bodoni MT"/>
          <w:b/>
          <w:bCs/>
          <w:sz w:val="28"/>
          <w:szCs w:val="28"/>
          <w:lang w:bidi="ar-IQ"/>
        </w:rPr>
        <w:t xml:space="preserve">        </w:t>
      </w:r>
      <w:r w:rsidR="00115E22" w:rsidRPr="00920030">
        <w:rPr>
          <w:rFonts w:ascii="Bodoni MT" w:eastAsia="Gulim" w:hAnsi="Bodoni MT"/>
          <w:b/>
          <w:bCs/>
          <w:sz w:val="28"/>
          <w:szCs w:val="28"/>
          <w:lang w:bidi="ar-IQ"/>
        </w:rPr>
        <w:t>M.Sc./</w:t>
      </w:r>
      <w:r>
        <w:rPr>
          <w:rFonts w:ascii="Bodoni MT" w:eastAsia="Gulim" w:hAnsi="Bodoni MT"/>
          <w:b/>
          <w:bCs/>
          <w:sz w:val="28"/>
          <w:szCs w:val="28"/>
          <w:lang w:bidi="ar-IQ"/>
        </w:rPr>
        <w:t xml:space="preserve"> </w:t>
      </w:r>
      <w:r w:rsidR="001768B8" w:rsidRPr="00920030">
        <w:rPr>
          <w:rFonts w:ascii="Bodoni MT" w:eastAsia="Gulim" w:hAnsi="Bodoni MT"/>
          <w:b/>
          <w:bCs/>
          <w:sz w:val="28"/>
          <w:szCs w:val="28"/>
          <w:lang w:bidi="ar-IQ"/>
        </w:rPr>
        <w:t>Microbiology</w:t>
      </w:r>
      <w:r>
        <w:rPr>
          <w:rFonts w:ascii="Bodoni MT" w:eastAsia="Gulim" w:hAnsi="Bodoni MT"/>
          <w:b/>
          <w:bCs/>
          <w:sz w:val="28"/>
          <w:szCs w:val="28"/>
          <w:lang w:bidi="ar-IQ"/>
        </w:rPr>
        <w:t xml:space="preserve"> </w:t>
      </w:r>
      <w:r w:rsidR="001768B8" w:rsidRPr="00920030">
        <w:rPr>
          <w:rFonts w:ascii="Bodoni MT" w:eastAsia="Gulim" w:hAnsi="Bodoni MT"/>
          <w:b/>
          <w:bCs/>
          <w:sz w:val="28"/>
          <w:szCs w:val="28"/>
          <w:lang w:bidi="ar-IQ"/>
        </w:rPr>
        <w:t xml:space="preserve">/ 2003    </w:t>
      </w:r>
      <w:r w:rsidR="001768B8" w:rsidRPr="00920030">
        <w:rPr>
          <w:rFonts w:ascii="Bodoni MT" w:eastAsia="Gulim" w:hAnsi="Bodoni MT"/>
          <w:b/>
          <w:bCs/>
          <w:sz w:val="28"/>
          <w:szCs w:val="28"/>
          <w:rtl/>
        </w:rPr>
        <w:t xml:space="preserve">        </w:t>
      </w:r>
    </w:p>
    <w:p w:rsidR="001768B8" w:rsidRDefault="001768B8" w:rsidP="001768B8">
      <w:pPr>
        <w:tabs>
          <w:tab w:val="left" w:pos="5437"/>
        </w:tabs>
        <w:jc w:val="center"/>
        <w:rPr>
          <w:b/>
          <w:bCs/>
          <w:sz w:val="36"/>
          <w:szCs w:val="36"/>
        </w:rPr>
      </w:pPr>
    </w:p>
    <w:p w:rsidR="001768B8" w:rsidRDefault="001768B8" w:rsidP="001768B8">
      <w:pPr>
        <w:tabs>
          <w:tab w:val="left" w:pos="5437"/>
        </w:tabs>
        <w:rPr>
          <w:rFonts w:ascii="Monotype Corsiva" w:hAnsi="Monotype Corsiva"/>
          <w:b/>
          <w:bCs/>
          <w:sz w:val="36"/>
          <w:szCs w:val="36"/>
        </w:rPr>
      </w:pPr>
    </w:p>
    <w:p w:rsidR="001768B8" w:rsidRPr="00892326" w:rsidRDefault="001768B8" w:rsidP="001768B8">
      <w:pPr>
        <w:tabs>
          <w:tab w:val="left" w:pos="5437"/>
        </w:tabs>
        <w:jc w:val="center"/>
        <w:rPr>
          <w:rFonts w:ascii="Agency FB" w:hAnsi="Agency FB"/>
          <w:b/>
          <w:bCs/>
          <w:sz w:val="36"/>
          <w:szCs w:val="36"/>
        </w:rPr>
      </w:pPr>
      <w:r w:rsidRPr="00892326">
        <w:rPr>
          <w:rFonts w:ascii="Agency FB" w:hAnsi="Agency FB"/>
          <w:b/>
          <w:bCs/>
          <w:sz w:val="36"/>
          <w:szCs w:val="36"/>
        </w:rPr>
        <w:t>Supervised by</w:t>
      </w:r>
    </w:p>
    <w:p w:rsidR="001768B8" w:rsidRPr="00892326" w:rsidRDefault="001768B8" w:rsidP="001768B8">
      <w:pPr>
        <w:tabs>
          <w:tab w:val="center" w:pos="4153"/>
          <w:tab w:val="left" w:pos="5437"/>
          <w:tab w:val="left" w:pos="6664"/>
        </w:tabs>
        <w:ind w:left="-720" w:right="-694"/>
        <w:jc w:val="center"/>
        <w:rPr>
          <w:rFonts w:ascii="Agency FB" w:hAnsi="Agency FB"/>
          <w:b/>
          <w:bCs/>
          <w:sz w:val="40"/>
          <w:szCs w:val="40"/>
        </w:rPr>
      </w:pPr>
      <w:r w:rsidRPr="00892326">
        <w:rPr>
          <w:rFonts w:ascii="Agency FB" w:hAnsi="Agency FB"/>
          <w:b/>
          <w:bCs/>
          <w:sz w:val="40"/>
          <w:szCs w:val="40"/>
        </w:rPr>
        <w:t>Professor</w:t>
      </w:r>
    </w:p>
    <w:p w:rsidR="001768B8" w:rsidRPr="00186A73" w:rsidRDefault="001768B8" w:rsidP="001768B8">
      <w:pPr>
        <w:tabs>
          <w:tab w:val="center" w:pos="4153"/>
          <w:tab w:val="left" w:pos="5437"/>
          <w:tab w:val="left" w:pos="6664"/>
        </w:tabs>
        <w:ind w:left="-720" w:right="-694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Pr="00186A73">
        <w:rPr>
          <w:rFonts w:asciiTheme="majorBidi" w:hAnsiTheme="majorBidi" w:cstheme="majorBidi"/>
          <w:b/>
          <w:bCs/>
          <w:sz w:val="48"/>
          <w:szCs w:val="48"/>
        </w:rPr>
        <w:t xml:space="preserve">Dr. </w:t>
      </w:r>
      <w:proofErr w:type="spellStart"/>
      <w:r w:rsidRPr="00186A73">
        <w:rPr>
          <w:rFonts w:asciiTheme="majorBidi" w:hAnsiTheme="majorBidi" w:cstheme="majorBidi"/>
          <w:b/>
          <w:bCs/>
          <w:sz w:val="48"/>
          <w:szCs w:val="48"/>
        </w:rPr>
        <w:t>Habeeb</w:t>
      </w:r>
      <w:proofErr w:type="spellEnd"/>
      <w:r w:rsidRPr="00186A73">
        <w:rPr>
          <w:rFonts w:asciiTheme="majorBidi" w:hAnsiTheme="majorBidi" w:cstheme="majorBidi"/>
          <w:b/>
          <w:bCs/>
          <w:sz w:val="48"/>
          <w:szCs w:val="48"/>
        </w:rPr>
        <w:t xml:space="preserve"> S. </w:t>
      </w:r>
      <w:proofErr w:type="spellStart"/>
      <w:r w:rsidRPr="00186A73">
        <w:rPr>
          <w:rFonts w:asciiTheme="majorBidi" w:hAnsiTheme="majorBidi" w:cstheme="majorBidi"/>
          <w:b/>
          <w:bCs/>
          <w:sz w:val="48"/>
          <w:szCs w:val="48"/>
        </w:rPr>
        <w:t>Naher</w:t>
      </w:r>
      <w:proofErr w:type="spellEnd"/>
    </w:p>
    <w:p w:rsidR="00D66086" w:rsidRPr="00892326" w:rsidRDefault="00D66086" w:rsidP="00D66086">
      <w:pPr>
        <w:ind w:right="-283"/>
        <w:jc w:val="center"/>
        <w:rPr>
          <w:rFonts w:ascii="Bodoni MT" w:eastAsiaTheme="minorEastAsia" w:hAnsi="Bodoni MT" w:cs="Diwani Outline Shaded"/>
          <w:b/>
          <w:bCs/>
          <w:sz w:val="28"/>
          <w:szCs w:val="28"/>
        </w:rPr>
      </w:pPr>
      <w:r w:rsidRPr="00892326">
        <w:rPr>
          <w:rFonts w:ascii="Bodoni MT" w:eastAsiaTheme="minorEastAsia" w:hAnsi="Bodoni MT" w:cs="Diwani Outline Shaded"/>
          <w:b/>
          <w:bCs/>
          <w:sz w:val="28"/>
          <w:szCs w:val="28"/>
        </w:rPr>
        <w:t>College of Medicine \ Babylon University</w:t>
      </w:r>
    </w:p>
    <w:p w:rsidR="00EB6E3D" w:rsidRPr="00D66086" w:rsidRDefault="00EB6E3D" w:rsidP="001768B8">
      <w:pPr>
        <w:rPr>
          <w:rFonts w:ascii="Monotype Corsiva" w:hAnsi="Monotype Corsiva"/>
          <w:b/>
          <w:bCs/>
          <w:sz w:val="32"/>
          <w:szCs w:val="32"/>
        </w:rPr>
      </w:pPr>
    </w:p>
    <w:p w:rsidR="00EB6E3D" w:rsidRDefault="00EB6E3D" w:rsidP="001768B8">
      <w:pPr>
        <w:rPr>
          <w:rFonts w:ascii="Monotype Corsiva" w:hAnsi="Monotype Corsiva"/>
          <w:b/>
          <w:bCs/>
          <w:sz w:val="32"/>
          <w:szCs w:val="32"/>
        </w:rPr>
      </w:pPr>
    </w:p>
    <w:p w:rsidR="00EB6E3D" w:rsidRPr="005370D3" w:rsidRDefault="00EB6E3D" w:rsidP="005370D3">
      <w:pPr>
        <w:rPr>
          <w:rFonts w:ascii="Monotype Corsiva" w:hAnsi="Monotype Corsiva"/>
          <w:b/>
          <w:bCs/>
          <w:sz w:val="36"/>
          <w:szCs w:val="36"/>
        </w:rPr>
      </w:pPr>
    </w:p>
    <w:p w:rsidR="00534BE2" w:rsidRDefault="00207EE1" w:rsidP="00931D4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2015</w:t>
      </w:r>
      <w:r w:rsidR="00115E22" w:rsidRPr="005370D3">
        <w:rPr>
          <w:b/>
          <w:bCs/>
          <w:sz w:val="36"/>
          <w:szCs w:val="36"/>
        </w:rPr>
        <w:t xml:space="preserve"> </w:t>
      </w:r>
      <w:r w:rsidR="001768B8" w:rsidRPr="005370D3">
        <w:rPr>
          <w:b/>
          <w:bCs/>
          <w:sz w:val="36"/>
          <w:szCs w:val="36"/>
        </w:rPr>
        <w:t>A</w:t>
      </w:r>
      <w:r w:rsidR="005370D3">
        <w:rPr>
          <w:b/>
          <w:bCs/>
          <w:sz w:val="36"/>
          <w:szCs w:val="36"/>
        </w:rPr>
        <w:t>.D</w:t>
      </w:r>
      <w:r w:rsidR="001768B8" w:rsidRPr="005370D3">
        <w:rPr>
          <w:b/>
          <w:bCs/>
          <w:sz w:val="36"/>
          <w:szCs w:val="36"/>
        </w:rPr>
        <w:t xml:space="preserve">        </w:t>
      </w:r>
      <w:r w:rsidR="00EB6E3D" w:rsidRPr="005370D3">
        <w:rPr>
          <w:b/>
          <w:bCs/>
          <w:sz w:val="36"/>
          <w:szCs w:val="36"/>
        </w:rPr>
        <w:t xml:space="preserve">    </w:t>
      </w:r>
      <w:r w:rsidR="001768B8" w:rsidRPr="005370D3">
        <w:rPr>
          <w:b/>
          <w:bCs/>
          <w:sz w:val="36"/>
          <w:szCs w:val="36"/>
        </w:rPr>
        <w:t xml:space="preserve">                                          </w:t>
      </w:r>
      <w:r w:rsidR="00115E22" w:rsidRPr="005370D3">
        <w:rPr>
          <w:b/>
          <w:bCs/>
          <w:sz w:val="36"/>
          <w:szCs w:val="36"/>
        </w:rPr>
        <w:t xml:space="preserve">      </w:t>
      </w:r>
      <w:r w:rsidR="00D16AC3">
        <w:rPr>
          <w:b/>
          <w:bCs/>
          <w:sz w:val="36"/>
          <w:szCs w:val="36"/>
        </w:rPr>
        <w:t>1435</w:t>
      </w:r>
      <w:r w:rsidR="00115E22" w:rsidRPr="005370D3">
        <w:rPr>
          <w:b/>
          <w:bCs/>
          <w:sz w:val="36"/>
          <w:szCs w:val="36"/>
        </w:rPr>
        <w:t xml:space="preserve"> </w:t>
      </w:r>
      <w:r w:rsidR="001768B8" w:rsidRPr="005370D3">
        <w:rPr>
          <w:b/>
          <w:bCs/>
          <w:sz w:val="36"/>
          <w:szCs w:val="36"/>
        </w:rPr>
        <w:t>A.H</w:t>
      </w:r>
    </w:p>
    <w:p w:rsidR="00931D4D" w:rsidRPr="00E02065" w:rsidRDefault="00931D4D" w:rsidP="00931D4D">
      <w:pPr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E02065">
        <w:rPr>
          <w:rFonts w:asciiTheme="majorBidi" w:eastAsia="Calibri" w:hAnsiTheme="majorBidi" w:cstheme="majorBidi"/>
          <w:b/>
          <w:bCs/>
          <w:sz w:val="36"/>
          <w:szCs w:val="36"/>
        </w:rPr>
        <w:lastRenderedPageBreak/>
        <w:t>Summary</w:t>
      </w:r>
    </w:p>
    <w:p w:rsidR="00931D4D" w:rsidRPr="00E02065" w:rsidRDefault="00931D4D" w:rsidP="00931D4D">
      <w:pPr>
        <w:jc w:val="both"/>
        <w:rPr>
          <w:rFonts w:eastAsia="Calibri"/>
          <w:sz w:val="32"/>
          <w:szCs w:val="32"/>
          <w:lang w:bidi="ar-IQ"/>
        </w:rPr>
      </w:pPr>
      <w:r w:rsidRPr="00E02065">
        <w:rPr>
          <w:rFonts w:eastAsia="Calibri"/>
          <w:sz w:val="32"/>
          <w:szCs w:val="32"/>
        </w:rPr>
        <w:t xml:space="preserve">      Throughout this study, a total of 666 samples were collected from different sites of neonates, mothers and hospital </w:t>
      </w:r>
      <w:proofErr w:type="spellStart"/>
      <w:r w:rsidRPr="00E02065">
        <w:rPr>
          <w:rFonts w:eastAsia="Calibri"/>
          <w:sz w:val="32"/>
          <w:szCs w:val="32"/>
        </w:rPr>
        <w:t>environmente</w:t>
      </w:r>
      <w:proofErr w:type="spellEnd"/>
      <w:r w:rsidRPr="00E02065">
        <w:rPr>
          <w:rFonts w:eastAsia="Calibri"/>
          <w:sz w:val="32"/>
          <w:szCs w:val="32"/>
        </w:rPr>
        <w:t xml:space="preserve">. Out of these, 490 samples were collected from both sexes neonates who </w:t>
      </w:r>
      <w:r w:rsidRPr="00E02065">
        <w:rPr>
          <w:rFonts w:eastAsia="Calibri"/>
          <w:sz w:val="32"/>
          <w:szCs w:val="32"/>
          <w:lang w:bidi="ar-IQ"/>
        </w:rPr>
        <w:t xml:space="preserve">ranged in age between one to ninety days that </w:t>
      </w:r>
      <w:r>
        <w:rPr>
          <w:rFonts w:eastAsia="Calibri"/>
          <w:sz w:val="32"/>
          <w:szCs w:val="32"/>
          <w:lang w:bidi="ar-IQ"/>
        </w:rPr>
        <w:t xml:space="preserve">were </w:t>
      </w:r>
      <w:r w:rsidRPr="00E02065">
        <w:rPr>
          <w:rFonts w:eastAsia="Calibri"/>
          <w:sz w:val="32"/>
          <w:szCs w:val="32"/>
          <w:lang w:bidi="ar-IQ"/>
        </w:rPr>
        <w:t>admitted to the Preterm Unit and Neonatal Intensive Care Unit (N</w:t>
      </w:r>
      <w:r>
        <w:rPr>
          <w:rFonts w:eastAsia="Calibri"/>
          <w:sz w:val="32"/>
          <w:szCs w:val="32"/>
          <w:lang w:bidi="ar-IQ"/>
        </w:rPr>
        <w:t>ICU) in</w:t>
      </w:r>
      <w:r w:rsidRPr="00E02065">
        <w:rPr>
          <w:rFonts w:eastAsia="Calibri"/>
          <w:sz w:val="32"/>
          <w:szCs w:val="32"/>
          <w:lang w:bidi="ar-IQ"/>
        </w:rPr>
        <w:t xml:space="preserve"> Babylon Hospit</w:t>
      </w:r>
      <w:r>
        <w:rPr>
          <w:rFonts w:eastAsia="Calibri"/>
          <w:sz w:val="32"/>
          <w:szCs w:val="32"/>
          <w:lang w:bidi="ar-IQ"/>
        </w:rPr>
        <w:t>al for Pediatric and Gynecology</w:t>
      </w:r>
      <w:r w:rsidRPr="00E02065">
        <w:rPr>
          <w:rFonts w:eastAsia="Calibri"/>
          <w:sz w:val="32"/>
          <w:szCs w:val="32"/>
          <w:lang w:bidi="ar-IQ"/>
        </w:rPr>
        <w:t xml:space="preserve">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during the period of 12 months from </w:t>
      </w:r>
      <w:r>
        <w:rPr>
          <w:rFonts w:asciiTheme="majorBidi" w:eastAsia="Calibri" w:hAnsiTheme="majorBidi" w:cstheme="majorBidi"/>
          <w:sz w:val="32"/>
          <w:szCs w:val="32"/>
        </w:rPr>
        <w:t>firs</w:t>
      </w:r>
      <w:r w:rsidRPr="00E02065">
        <w:rPr>
          <w:rFonts w:asciiTheme="majorBidi" w:eastAsia="Calibri" w:hAnsiTheme="majorBidi" w:cstheme="majorBidi"/>
          <w:sz w:val="32"/>
          <w:szCs w:val="32"/>
        </w:rPr>
        <w:t>t of March 2012</w:t>
      </w:r>
      <w:r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E02065">
        <w:rPr>
          <w:rFonts w:asciiTheme="majorBidi" w:eastAsia="Calibri" w:hAnsiTheme="majorBidi" w:cstheme="majorBidi"/>
          <w:sz w:val="32"/>
          <w:szCs w:val="32"/>
        </w:rPr>
        <w:t>to twenty eight of February 2013</w:t>
      </w:r>
      <w:r w:rsidRPr="00E02065">
        <w:rPr>
          <w:rFonts w:eastAsia="Calibri"/>
          <w:sz w:val="32"/>
          <w:szCs w:val="32"/>
          <w:lang w:bidi="ar-IQ"/>
        </w:rPr>
        <w:t xml:space="preserve">. Neonatal samples </w:t>
      </w:r>
      <w:r w:rsidRPr="00E02065">
        <w:rPr>
          <w:rFonts w:eastAsia="Calibri"/>
          <w:sz w:val="32"/>
          <w:szCs w:val="32"/>
        </w:rPr>
        <w:t xml:space="preserve">included  Blood, Urine, </w:t>
      </w:r>
      <w:proofErr w:type="spellStart"/>
      <w:r w:rsidRPr="00E02065">
        <w:rPr>
          <w:rFonts w:eastAsia="Calibri"/>
          <w:sz w:val="32"/>
          <w:szCs w:val="32"/>
        </w:rPr>
        <w:t>CerebroSpinal</w:t>
      </w:r>
      <w:proofErr w:type="spellEnd"/>
      <w:r w:rsidRPr="00E02065">
        <w:rPr>
          <w:rFonts w:eastAsia="Calibri"/>
          <w:sz w:val="32"/>
          <w:szCs w:val="32"/>
        </w:rPr>
        <w:t xml:space="preserve"> Fluid and swabs from many </w:t>
      </w:r>
      <w:r>
        <w:rPr>
          <w:rFonts w:eastAsia="Calibri"/>
          <w:sz w:val="32"/>
          <w:szCs w:val="32"/>
        </w:rPr>
        <w:t xml:space="preserve">different </w:t>
      </w:r>
      <w:r w:rsidRPr="00E02065">
        <w:rPr>
          <w:rFonts w:eastAsia="Calibri"/>
          <w:sz w:val="32"/>
          <w:szCs w:val="32"/>
        </w:rPr>
        <w:t>sources( Oral Cavity, Umbilical Cord, Skin, Eye</w:t>
      </w:r>
      <w:r>
        <w:rPr>
          <w:rFonts w:eastAsia="Calibri"/>
          <w:sz w:val="32"/>
          <w:szCs w:val="32"/>
        </w:rPr>
        <w:t>, Respiratory Secretions, Nose a</w:t>
      </w:r>
      <w:r w:rsidRPr="00E02065">
        <w:rPr>
          <w:rFonts w:eastAsia="Calibri"/>
          <w:sz w:val="32"/>
          <w:szCs w:val="32"/>
        </w:rPr>
        <w:t xml:space="preserve">nd </w:t>
      </w:r>
      <w:r>
        <w:rPr>
          <w:rFonts w:eastAsia="Calibri"/>
          <w:sz w:val="32"/>
          <w:szCs w:val="32"/>
        </w:rPr>
        <w:t>Surgical Wounds</w:t>
      </w:r>
      <w:r w:rsidRPr="00E02065">
        <w:rPr>
          <w:rFonts w:eastAsia="Calibri"/>
          <w:sz w:val="32"/>
          <w:szCs w:val="32"/>
        </w:rPr>
        <w:t xml:space="preserve">). </w:t>
      </w:r>
      <w:proofErr w:type="spellStart"/>
      <w:r w:rsidRPr="00E02065">
        <w:rPr>
          <w:rFonts w:eastAsia="Calibri"/>
          <w:sz w:val="32"/>
          <w:szCs w:val="32"/>
        </w:rPr>
        <w:t>Atotal</w:t>
      </w:r>
      <w:proofErr w:type="spellEnd"/>
      <w:r w:rsidRPr="00E02065">
        <w:rPr>
          <w:rFonts w:eastAsia="Calibri"/>
          <w:sz w:val="32"/>
          <w:szCs w:val="32"/>
        </w:rPr>
        <w:t xml:space="preserve"> of 74 samples were collected from </w:t>
      </w:r>
      <w:r w:rsidRPr="00E02065">
        <w:rPr>
          <w:rFonts w:asciiTheme="majorBidi" w:eastAsia="Calibri" w:hAnsiTheme="majorBidi" w:cstheme="majorBidi"/>
          <w:sz w:val="32"/>
          <w:szCs w:val="32"/>
        </w:rPr>
        <w:t>pregnant</w:t>
      </w:r>
      <w:r w:rsidRPr="00E02065">
        <w:rPr>
          <w:rFonts w:asciiTheme="majorBidi" w:eastAsia="Calibri" w:hAnsiTheme="majorBidi" w:cstheme="majorBidi"/>
          <w:sz w:val="32"/>
          <w:szCs w:val="32"/>
          <w:lang w:bidi="ar-IQ"/>
        </w:rPr>
        <w:t xml:space="preserve"> women and mothers in delivery room, </w:t>
      </w:r>
      <w:r w:rsidRPr="00E02065">
        <w:rPr>
          <w:rFonts w:eastAsia="Calibri"/>
          <w:sz w:val="32"/>
          <w:szCs w:val="32"/>
        </w:rPr>
        <w:t xml:space="preserve">included Amniotic Fluid, High Vaginal Swabs(HVS) And Umbilical Cord Blood. Moreover, 102 samples were collected from hospital environment included swabs from </w:t>
      </w:r>
      <w:r>
        <w:rPr>
          <w:rFonts w:eastAsia="Calibri"/>
          <w:sz w:val="32"/>
          <w:szCs w:val="32"/>
        </w:rPr>
        <w:t>Mask o</w:t>
      </w:r>
      <w:r w:rsidRPr="00E02065">
        <w:rPr>
          <w:rFonts w:eastAsia="Calibri"/>
          <w:sz w:val="32"/>
          <w:szCs w:val="32"/>
        </w:rPr>
        <w:t>f Ventilator</w:t>
      </w:r>
      <w:r>
        <w:rPr>
          <w:rFonts w:eastAsia="Calibri"/>
          <w:sz w:val="32"/>
          <w:szCs w:val="32"/>
        </w:rPr>
        <w:t>s</w:t>
      </w:r>
      <w:r w:rsidRPr="00E02065">
        <w:rPr>
          <w:rFonts w:eastAsia="Calibri"/>
          <w:sz w:val="32"/>
          <w:szCs w:val="32"/>
        </w:rPr>
        <w:t xml:space="preserve">, </w:t>
      </w:r>
      <w:proofErr w:type="spellStart"/>
      <w:r w:rsidRPr="00E02065">
        <w:rPr>
          <w:rFonts w:eastAsia="Calibri"/>
          <w:sz w:val="32"/>
          <w:szCs w:val="32"/>
        </w:rPr>
        <w:t>Cannula</w:t>
      </w:r>
      <w:r>
        <w:rPr>
          <w:rFonts w:eastAsia="Calibri"/>
          <w:sz w:val="32"/>
          <w:szCs w:val="32"/>
        </w:rPr>
        <w:t>e</w:t>
      </w:r>
      <w:proofErr w:type="spellEnd"/>
      <w:r w:rsidRPr="00E02065">
        <w:rPr>
          <w:rFonts w:eastAsia="Calibri"/>
          <w:sz w:val="32"/>
          <w:szCs w:val="32"/>
        </w:rPr>
        <w:t>, Caesarian Section</w:t>
      </w:r>
      <w:r>
        <w:rPr>
          <w:rFonts w:eastAsia="Calibri"/>
          <w:sz w:val="32"/>
          <w:szCs w:val="32"/>
        </w:rPr>
        <w:t xml:space="preserve"> Theatre</w:t>
      </w:r>
      <w:r w:rsidRPr="00E02065">
        <w:rPr>
          <w:rFonts w:eastAsia="Calibri"/>
          <w:sz w:val="32"/>
          <w:szCs w:val="32"/>
        </w:rPr>
        <w:t>,</w:t>
      </w:r>
      <w:r>
        <w:rPr>
          <w:rFonts w:eastAsia="Calibri"/>
          <w:sz w:val="32"/>
          <w:szCs w:val="32"/>
        </w:rPr>
        <w:t xml:space="preserve"> Nursery, </w:t>
      </w:r>
      <w:proofErr w:type="spellStart"/>
      <w:r>
        <w:rPr>
          <w:rFonts w:eastAsia="Calibri"/>
          <w:sz w:val="32"/>
          <w:szCs w:val="32"/>
        </w:rPr>
        <w:t>Curttage</w:t>
      </w:r>
      <w:proofErr w:type="spellEnd"/>
      <w:r>
        <w:rPr>
          <w:rFonts w:eastAsia="Calibri"/>
          <w:sz w:val="32"/>
          <w:szCs w:val="32"/>
        </w:rPr>
        <w:t xml:space="preserve"> Unit, Floor o</w:t>
      </w:r>
      <w:r w:rsidRPr="00E02065">
        <w:rPr>
          <w:rFonts w:eastAsia="Calibri"/>
          <w:sz w:val="32"/>
          <w:szCs w:val="32"/>
        </w:rPr>
        <w:t xml:space="preserve">f </w:t>
      </w:r>
      <w:r>
        <w:rPr>
          <w:rFonts w:eastAsia="Calibri"/>
          <w:sz w:val="32"/>
          <w:szCs w:val="32"/>
        </w:rPr>
        <w:t>Delivery Room, Stage o</w:t>
      </w:r>
      <w:r w:rsidRPr="00E02065">
        <w:rPr>
          <w:rFonts w:eastAsia="Calibri"/>
          <w:sz w:val="32"/>
          <w:szCs w:val="32"/>
        </w:rPr>
        <w:t xml:space="preserve">f </w:t>
      </w:r>
      <w:r>
        <w:rPr>
          <w:rFonts w:eastAsia="Calibri"/>
          <w:sz w:val="32"/>
          <w:szCs w:val="32"/>
        </w:rPr>
        <w:t>Delivery</w:t>
      </w:r>
      <w:r w:rsidRPr="00E02065">
        <w:rPr>
          <w:rFonts w:eastAsia="Calibri"/>
          <w:sz w:val="32"/>
          <w:szCs w:val="32"/>
        </w:rPr>
        <w:t xml:space="preserve"> Ro</w:t>
      </w:r>
      <w:r>
        <w:rPr>
          <w:rFonts w:eastAsia="Calibri"/>
          <w:sz w:val="32"/>
          <w:szCs w:val="32"/>
        </w:rPr>
        <w:t>om, Disinfectant, Fluid Sucker a</w:t>
      </w:r>
      <w:r w:rsidRPr="00E02065">
        <w:rPr>
          <w:rFonts w:eastAsia="Calibri"/>
          <w:sz w:val="32"/>
          <w:szCs w:val="32"/>
        </w:rPr>
        <w:t xml:space="preserve">nd Catheter. </w:t>
      </w:r>
    </w:p>
    <w:p w:rsidR="00931D4D" w:rsidRDefault="00931D4D" w:rsidP="00931D4D">
      <w:pPr>
        <w:jc w:val="both"/>
        <w:rPr>
          <w:rFonts w:eastAsia="Calibri"/>
          <w:sz w:val="32"/>
          <w:szCs w:val="32"/>
          <w:lang w:bidi="ar-IQ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Out of </w:t>
      </w:r>
      <w:r>
        <w:rPr>
          <w:rFonts w:asciiTheme="majorBidi" w:eastAsia="Calibri" w:hAnsiTheme="majorBidi" w:cstheme="majorBidi"/>
          <w:sz w:val="32"/>
          <w:szCs w:val="32"/>
        </w:rPr>
        <w:t xml:space="preserve">these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666 samples, 403(61%) samples yielded bacterial growth  </w:t>
      </w:r>
      <w:r w:rsidRPr="00E02065">
        <w:rPr>
          <w:rFonts w:eastAsia="Calibri"/>
          <w:sz w:val="32"/>
          <w:szCs w:val="32"/>
          <w:lang w:bidi="ar-IQ"/>
        </w:rPr>
        <w:t xml:space="preserve">included </w:t>
      </w:r>
      <w:r w:rsidRPr="00E02065">
        <w:rPr>
          <w:rFonts w:asciiTheme="majorBidi" w:eastAsia="Calibri" w:hAnsiTheme="majorBidi" w:cstheme="majorBidi"/>
          <w:sz w:val="32"/>
          <w:szCs w:val="32"/>
        </w:rPr>
        <w:t>334(68%) of neonatal samples</w:t>
      </w:r>
      <w:r w:rsidRPr="00E02065">
        <w:rPr>
          <w:rFonts w:eastAsia="Calibri"/>
          <w:sz w:val="32"/>
          <w:szCs w:val="32"/>
          <w:lang w:bidi="ar-IQ"/>
        </w:rPr>
        <w:t xml:space="preserve">, </w:t>
      </w:r>
      <w:r w:rsidRPr="00E02065">
        <w:rPr>
          <w:rFonts w:asciiTheme="majorBidi" w:eastAsia="Calibri" w:hAnsiTheme="majorBidi" w:cstheme="majorBidi"/>
          <w:sz w:val="32"/>
          <w:szCs w:val="32"/>
        </w:rPr>
        <w:t>40(54%)</w:t>
      </w:r>
      <w:r w:rsidRPr="00E02065">
        <w:rPr>
          <w:rFonts w:eastAsia="Calibri"/>
          <w:sz w:val="32"/>
          <w:szCs w:val="32"/>
          <w:lang w:bidi="ar-IQ"/>
        </w:rPr>
        <w:t xml:space="preserve"> of samples from mothers and </w:t>
      </w:r>
      <w:r w:rsidRPr="00E02065">
        <w:rPr>
          <w:rFonts w:asciiTheme="majorBidi" w:eastAsia="Calibri" w:hAnsiTheme="majorBidi" w:cstheme="majorBidi"/>
          <w:sz w:val="32"/>
          <w:szCs w:val="32"/>
        </w:rPr>
        <w:t>29(28%)</w:t>
      </w:r>
      <w:r w:rsidRPr="00E02065">
        <w:rPr>
          <w:rFonts w:eastAsia="Calibri"/>
          <w:sz w:val="32"/>
          <w:szCs w:val="32"/>
          <w:lang w:bidi="ar-IQ"/>
        </w:rPr>
        <w:t xml:space="preserve"> of environmental samples. </w:t>
      </w:r>
      <w:r w:rsidRPr="00E02065">
        <w:rPr>
          <w:rFonts w:asciiTheme="majorBidi" w:eastAsia="Calibri" w:hAnsiTheme="majorBidi" w:cstheme="majorBidi"/>
          <w:sz w:val="32"/>
          <w:szCs w:val="32"/>
        </w:rPr>
        <w:t>While 263(39%) samples showed no bacterial growth</w:t>
      </w:r>
      <w:r>
        <w:rPr>
          <w:rFonts w:eastAsia="Calibri"/>
          <w:sz w:val="32"/>
          <w:szCs w:val="32"/>
          <w:lang w:bidi="ar-IQ"/>
        </w:rPr>
        <w:t>.</w:t>
      </w:r>
    </w:p>
    <w:p w:rsidR="00931D4D" w:rsidRPr="00E02065" w:rsidRDefault="00931D4D" w:rsidP="00931D4D">
      <w:pPr>
        <w:jc w:val="both"/>
        <w:rPr>
          <w:rFonts w:eastAsia="Calibri"/>
          <w:sz w:val="32"/>
          <w:szCs w:val="32"/>
          <w:lang w:bidi="ar-IQ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Routs of etiologic bacteria of neonatal infections included </w:t>
      </w:r>
      <w:proofErr w:type="spellStart"/>
      <w:r w:rsidRPr="00E02065">
        <w:rPr>
          <w:rFonts w:asciiTheme="majorBidi" w:eastAsia="Calibri" w:hAnsiTheme="majorBidi" w:cstheme="majorBidi"/>
          <w:sz w:val="32"/>
          <w:szCs w:val="32"/>
        </w:rPr>
        <w:t>Intrautrin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, </w:t>
      </w:r>
      <w:proofErr w:type="spellStart"/>
      <w:r w:rsidRPr="00E02065">
        <w:rPr>
          <w:rFonts w:asciiTheme="majorBidi" w:eastAsia="Calibri" w:hAnsiTheme="majorBidi" w:cstheme="majorBidi"/>
          <w:sz w:val="32"/>
          <w:szCs w:val="32"/>
        </w:rPr>
        <w:t>Intrapartum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 and Nosocomial Infections. Transmission from mother was the most common rout with 56 isolates. Distribution of bacterial types obtained from mothers was 30.4%  Gram negative and 69.6%  Gram positive bacteria.  </w:t>
      </w:r>
    </w:p>
    <w:p w:rsidR="00931D4D" w:rsidRPr="00E02065" w:rsidRDefault="00931D4D" w:rsidP="00931D4D">
      <w:pPr>
        <w:jc w:val="both"/>
        <w:rPr>
          <w:rFonts w:eastAsia="Calibri"/>
          <w:sz w:val="32"/>
          <w:szCs w:val="32"/>
          <w:lang w:bidi="ar-IQ"/>
        </w:rPr>
      </w:pPr>
      <w:r w:rsidRPr="00E02065">
        <w:rPr>
          <w:rFonts w:eastAsia="Calibri"/>
          <w:sz w:val="32"/>
          <w:szCs w:val="32"/>
          <w:lang w:bidi="ar-IQ"/>
        </w:rPr>
        <w:t xml:space="preserve">    Gram negative bacteria were </w:t>
      </w:r>
      <w:r>
        <w:rPr>
          <w:rFonts w:eastAsia="Calibri"/>
          <w:sz w:val="32"/>
          <w:szCs w:val="32"/>
          <w:lang w:bidi="ar-IQ"/>
        </w:rPr>
        <w:t xml:space="preserve">the </w:t>
      </w:r>
      <w:r w:rsidRPr="00E02065">
        <w:rPr>
          <w:rFonts w:eastAsia="Calibri"/>
          <w:sz w:val="32"/>
          <w:szCs w:val="32"/>
          <w:lang w:bidi="ar-IQ"/>
        </w:rPr>
        <w:t>more frequent isolat</w:t>
      </w:r>
      <w:r>
        <w:rPr>
          <w:rFonts w:eastAsia="Calibri"/>
          <w:sz w:val="32"/>
          <w:szCs w:val="32"/>
          <w:lang w:bidi="ar-IQ"/>
        </w:rPr>
        <w:t xml:space="preserve">es 284(56%) than Gram positive </w:t>
      </w:r>
      <w:r w:rsidRPr="00E02065">
        <w:rPr>
          <w:rFonts w:eastAsia="Calibri"/>
          <w:sz w:val="32"/>
          <w:szCs w:val="32"/>
          <w:lang w:bidi="ar-IQ"/>
        </w:rPr>
        <w:t xml:space="preserve">226(44%). 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Pseudomonas</w:t>
      </w:r>
      <w:r w:rsidRPr="00E02065">
        <w:rPr>
          <w:rFonts w:eastAsia="Calibri"/>
          <w:i/>
          <w:iCs/>
          <w:sz w:val="32"/>
          <w:szCs w:val="32"/>
          <w:lang w:bidi="ar-IQ"/>
        </w:rPr>
        <w:t xml:space="preserve"> </w:t>
      </w:r>
      <w:proofErr w:type="spellStart"/>
      <w:r w:rsidRPr="00E02065">
        <w:rPr>
          <w:rFonts w:eastAsia="Calibri"/>
          <w:i/>
          <w:iCs/>
          <w:sz w:val="32"/>
          <w:szCs w:val="32"/>
          <w:lang w:bidi="ar-IQ"/>
        </w:rPr>
        <w:t>aeruginosa</w:t>
      </w:r>
      <w:proofErr w:type="spellEnd"/>
      <w:r w:rsidRPr="00E02065">
        <w:rPr>
          <w:rFonts w:eastAsia="Calibri"/>
          <w:sz w:val="32"/>
          <w:szCs w:val="32"/>
          <w:lang w:bidi="ar-IQ"/>
        </w:rPr>
        <w:t xml:space="preserve"> </w:t>
      </w:r>
      <w:r w:rsidRPr="00131AFA">
        <w:rPr>
          <w:rFonts w:eastAsia="Calibri"/>
          <w:sz w:val="32"/>
          <w:szCs w:val="32"/>
          <w:lang w:bidi="ar-IQ"/>
        </w:rPr>
        <w:t>was most frequently isolated bacteria</w:t>
      </w:r>
      <w:r>
        <w:rPr>
          <w:rFonts w:eastAsia="Calibri"/>
          <w:sz w:val="32"/>
          <w:szCs w:val="32"/>
          <w:lang w:bidi="ar-IQ"/>
        </w:rPr>
        <w:t>(</w:t>
      </w:r>
      <w:r w:rsidRPr="00E02065">
        <w:rPr>
          <w:rFonts w:eastAsia="Calibri"/>
          <w:sz w:val="32"/>
          <w:szCs w:val="32"/>
          <w:lang w:bidi="ar-IQ"/>
        </w:rPr>
        <w:t>19.7%)</w:t>
      </w:r>
      <w:r>
        <w:rPr>
          <w:rFonts w:eastAsia="Calibri"/>
          <w:sz w:val="32"/>
          <w:szCs w:val="32"/>
          <w:lang w:bidi="ar-IQ"/>
        </w:rPr>
        <w:t xml:space="preserve">, </w:t>
      </w:r>
      <w:r w:rsidRPr="00E02065">
        <w:rPr>
          <w:rFonts w:eastAsia="Calibri"/>
          <w:sz w:val="32"/>
          <w:szCs w:val="32"/>
          <w:lang w:bidi="ar-IQ"/>
        </w:rPr>
        <w:t xml:space="preserve"> followed by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Klebsiella</w:t>
      </w:r>
      <w:proofErr w:type="spellEnd"/>
      <w:r w:rsidRPr="00E02065">
        <w:rPr>
          <w:rFonts w:eastAsia="Calibri"/>
          <w:i/>
          <w:iCs/>
          <w:sz w:val="32"/>
          <w:szCs w:val="32"/>
          <w:lang w:bidi="ar-IQ"/>
        </w:rPr>
        <w:t xml:space="preserve"> </w:t>
      </w:r>
      <w:proofErr w:type="spellStart"/>
      <w:r w:rsidRPr="00E02065">
        <w:rPr>
          <w:rFonts w:eastAsia="Calibri"/>
          <w:i/>
          <w:iCs/>
          <w:sz w:val="32"/>
          <w:szCs w:val="32"/>
          <w:lang w:bidi="ar-IQ"/>
        </w:rPr>
        <w:t>pneumoniae</w:t>
      </w:r>
      <w:proofErr w:type="spellEnd"/>
      <w:r w:rsidRPr="00E02065">
        <w:rPr>
          <w:rFonts w:eastAsia="Calibri"/>
          <w:sz w:val="32"/>
          <w:szCs w:val="32"/>
          <w:lang w:bidi="ar-IQ"/>
        </w:rPr>
        <w:t xml:space="preserve"> (15.8%). </w:t>
      </w:r>
      <w:r>
        <w:rPr>
          <w:rFonts w:eastAsia="Calibri"/>
          <w:sz w:val="32"/>
          <w:szCs w:val="32"/>
          <w:lang w:bidi="ar-IQ"/>
        </w:rPr>
        <w:t xml:space="preserve">While for </w:t>
      </w:r>
      <w:r w:rsidRPr="00E02065">
        <w:rPr>
          <w:rFonts w:eastAsia="Calibri"/>
          <w:sz w:val="32"/>
          <w:szCs w:val="32"/>
          <w:lang w:bidi="ar-IQ"/>
        </w:rPr>
        <w:t>Gram positive ba</w:t>
      </w:r>
      <w:r>
        <w:rPr>
          <w:rFonts w:eastAsia="Calibri"/>
          <w:sz w:val="32"/>
          <w:szCs w:val="32"/>
          <w:lang w:bidi="ar-IQ"/>
        </w:rPr>
        <w:t xml:space="preserve">cteria, Staphylococci were the </w:t>
      </w:r>
      <w:r w:rsidRPr="00E02065">
        <w:rPr>
          <w:rFonts w:eastAsia="Calibri"/>
          <w:sz w:val="32"/>
          <w:szCs w:val="32"/>
          <w:lang w:bidi="ar-IQ"/>
        </w:rPr>
        <w:t xml:space="preserve">predominant and </w:t>
      </w:r>
      <w:r w:rsidRPr="00E02065">
        <w:rPr>
          <w:rFonts w:eastAsia="Calibri"/>
          <w:i/>
          <w:iCs/>
          <w:sz w:val="32"/>
          <w:szCs w:val="32"/>
          <w:lang w:bidi="ar-IQ"/>
        </w:rPr>
        <w:t>S</w:t>
      </w:r>
      <w:r>
        <w:rPr>
          <w:rFonts w:eastAsia="Calibri"/>
          <w:i/>
          <w:iCs/>
          <w:sz w:val="32"/>
          <w:szCs w:val="32"/>
          <w:lang w:bidi="ar-IQ"/>
        </w:rPr>
        <w:t xml:space="preserve">taphylococcus </w:t>
      </w:r>
      <w:proofErr w:type="spellStart"/>
      <w:r w:rsidRPr="00E02065">
        <w:rPr>
          <w:rFonts w:eastAsia="Calibri"/>
          <w:i/>
          <w:iCs/>
          <w:sz w:val="32"/>
          <w:szCs w:val="32"/>
          <w:lang w:bidi="ar-IQ"/>
        </w:rPr>
        <w:t>aureus</w:t>
      </w:r>
      <w:proofErr w:type="spellEnd"/>
      <w:r w:rsidRPr="00E02065">
        <w:rPr>
          <w:rFonts w:eastAsia="Calibri"/>
          <w:i/>
          <w:iCs/>
          <w:sz w:val="32"/>
          <w:szCs w:val="32"/>
          <w:lang w:bidi="ar-IQ"/>
        </w:rPr>
        <w:t xml:space="preserve"> </w:t>
      </w:r>
      <w:r w:rsidRPr="00E02065">
        <w:rPr>
          <w:rFonts w:eastAsia="Calibri"/>
          <w:sz w:val="32"/>
          <w:szCs w:val="32"/>
          <w:lang w:bidi="ar-IQ"/>
        </w:rPr>
        <w:t xml:space="preserve">was found to be the most frequent recording  38.2%. </w:t>
      </w:r>
    </w:p>
    <w:p w:rsidR="00931D4D" w:rsidRPr="00E02065" w:rsidRDefault="00931D4D" w:rsidP="00931D4D">
      <w:pPr>
        <w:jc w:val="both"/>
        <w:rPr>
          <w:rFonts w:eastAsia="Calibri"/>
          <w:sz w:val="32"/>
          <w:szCs w:val="32"/>
          <w:lang w:bidi="ar-IQ"/>
        </w:rPr>
      </w:pPr>
      <w:r w:rsidRPr="00E02065">
        <w:rPr>
          <w:rFonts w:eastAsia="Calibri"/>
          <w:sz w:val="32"/>
          <w:szCs w:val="32"/>
          <w:lang w:bidi="ar-IQ"/>
        </w:rPr>
        <w:t xml:space="preserve">   Many risk factors were studied. 43% of neonates were preterm, 31%  Low Birth Weight, 68% Male, 49% With Early </w:t>
      </w:r>
      <w:r w:rsidRPr="00E02065">
        <w:rPr>
          <w:rFonts w:eastAsia="Calibri"/>
          <w:sz w:val="32"/>
          <w:szCs w:val="32"/>
          <w:lang w:bidi="ar-IQ"/>
        </w:rPr>
        <w:lastRenderedPageBreak/>
        <w:t>Onset infection, and 68% with Normal Vaginal Delivery. In addition to Maternal Background.</w:t>
      </w:r>
    </w:p>
    <w:p w:rsidR="00931D4D" w:rsidRPr="00E02065" w:rsidRDefault="00931D4D" w:rsidP="00931D4D">
      <w:pPr>
        <w:jc w:val="both"/>
        <w:rPr>
          <w:rFonts w:asciiTheme="majorBidi" w:eastAsia="Calibri" w:hAnsiTheme="majorBidi" w:cstheme="majorBidi"/>
          <w:sz w:val="32"/>
          <w:szCs w:val="32"/>
        </w:rPr>
      </w:pPr>
      <w:r>
        <w:rPr>
          <w:rFonts w:eastAsia="Calibri"/>
          <w:sz w:val="32"/>
          <w:szCs w:val="32"/>
          <w:lang w:bidi="ar-IQ"/>
        </w:rPr>
        <w:t xml:space="preserve">   Antibiotic sensitivity test by disc diffusion method </w:t>
      </w:r>
      <w:r w:rsidRPr="00E02065">
        <w:rPr>
          <w:rFonts w:eastAsia="Calibri"/>
          <w:sz w:val="32"/>
          <w:szCs w:val="32"/>
          <w:lang w:bidi="ar-IQ"/>
        </w:rPr>
        <w:t xml:space="preserve">revealed that </w:t>
      </w:r>
      <w:r>
        <w:rPr>
          <w:rFonts w:eastAsia="Calibri"/>
          <w:sz w:val="32"/>
          <w:szCs w:val="32"/>
          <w:lang w:bidi="ar-IQ"/>
        </w:rPr>
        <w:t xml:space="preserve">most isolates were resistant to </w:t>
      </w:r>
      <w:proofErr w:type="spellStart"/>
      <w:r w:rsidRPr="00E02065">
        <w:rPr>
          <w:rFonts w:eastAsia="Calibri"/>
          <w:sz w:val="32"/>
          <w:szCs w:val="32"/>
        </w:rPr>
        <w:t>pen</w:t>
      </w:r>
      <w:r>
        <w:rPr>
          <w:rFonts w:eastAsia="Calibri"/>
          <w:sz w:val="32"/>
          <w:szCs w:val="32"/>
        </w:rPr>
        <w:t>icillins</w:t>
      </w:r>
      <w:proofErr w:type="spellEnd"/>
      <w:r>
        <w:rPr>
          <w:rFonts w:eastAsia="Calibri"/>
          <w:sz w:val="32"/>
          <w:szCs w:val="32"/>
        </w:rPr>
        <w:t xml:space="preserve"> </w:t>
      </w:r>
      <w:r w:rsidRPr="00E02065">
        <w:rPr>
          <w:rFonts w:eastAsia="Calibri"/>
          <w:sz w:val="32"/>
          <w:szCs w:val="32"/>
        </w:rPr>
        <w:t xml:space="preserve">and </w:t>
      </w:r>
      <w:proofErr w:type="spellStart"/>
      <w:r w:rsidRPr="00E02065">
        <w:rPr>
          <w:rFonts w:eastAsia="Calibri"/>
          <w:sz w:val="32"/>
          <w:szCs w:val="32"/>
        </w:rPr>
        <w:t>cephalosporins</w:t>
      </w:r>
      <w:proofErr w:type="spellEnd"/>
      <w:r w:rsidRPr="00E02065">
        <w:rPr>
          <w:rFonts w:eastAsia="Calibri"/>
          <w:sz w:val="32"/>
          <w:szCs w:val="32"/>
        </w:rPr>
        <w:t xml:space="preserve"> with 100% resistance for </w:t>
      </w:r>
      <w:proofErr w:type="spellStart"/>
      <w:r w:rsidRPr="00E02065">
        <w:rPr>
          <w:rFonts w:eastAsia="Calibri"/>
          <w:sz w:val="32"/>
          <w:szCs w:val="32"/>
        </w:rPr>
        <w:t>cephalothin</w:t>
      </w:r>
      <w:proofErr w:type="spellEnd"/>
      <w:r w:rsidRPr="00E02065">
        <w:rPr>
          <w:rFonts w:eastAsia="Calibri"/>
          <w:sz w:val="32"/>
          <w:szCs w:val="32"/>
        </w:rPr>
        <w:t xml:space="preserve">. While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100% sensitivity was shown in each </w:t>
      </w:r>
      <w:proofErr w:type="spellStart"/>
      <w:r w:rsidRPr="00E02065">
        <w:rPr>
          <w:rFonts w:asciiTheme="majorBidi" w:hAnsiTheme="majorBidi" w:cstheme="majorBidi"/>
          <w:sz w:val="32"/>
          <w:szCs w:val="32"/>
        </w:rPr>
        <w:t>Imipenem</w:t>
      </w:r>
      <w:proofErr w:type="spellEnd"/>
      <w:r w:rsidRPr="00E02065">
        <w:rPr>
          <w:rFonts w:asciiTheme="majorBidi" w:hAnsiTheme="majorBidi" w:cstheme="majorBidi"/>
          <w:sz w:val="32"/>
          <w:szCs w:val="32"/>
        </w:rPr>
        <w:t>(IPM)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 and </w:t>
      </w:r>
      <w:proofErr w:type="spellStart"/>
      <w:r w:rsidRPr="00E02065">
        <w:rPr>
          <w:rFonts w:asciiTheme="majorBidi" w:hAnsiTheme="majorBidi" w:cstheme="majorBidi"/>
          <w:sz w:val="32"/>
          <w:szCs w:val="32"/>
        </w:rPr>
        <w:t>Meropenem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(MRP) for both Gram negative and Gram positive bacteria. On the other hand, </w:t>
      </w:r>
      <w:r w:rsidRPr="00E02065">
        <w:rPr>
          <w:rFonts w:asciiTheme="majorBidi" w:hAnsiTheme="majorBidi" w:cstheme="majorBidi"/>
          <w:sz w:val="32"/>
          <w:szCs w:val="32"/>
        </w:rPr>
        <w:t xml:space="preserve">most other antibiotics revealed </w:t>
      </w:r>
      <w:proofErr w:type="spellStart"/>
      <w:r w:rsidRPr="00E02065">
        <w:rPr>
          <w:rFonts w:asciiTheme="majorBidi" w:hAnsiTheme="majorBidi" w:cstheme="majorBidi"/>
          <w:sz w:val="32"/>
          <w:szCs w:val="32"/>
        </w:rPr>
        <w:t>avariable</w:t>
      </w:r>
      <w:proofErr w:type="spellEnd"/>
      <w:r w:rsidRPr="00E02065">
        <w:rPr>
          <w:rFonts w:asciiTheme="majorBidi" w:hAnsiTheme="majorBidi" w:cstheme="majorBidi"/>
          <w:sz w:val="32"/>
          <w:szCs w:val="32"/>
        </w:rPr>
        <w:t xml:space="preserve"> levels in resistance according to the type of bacteria.</w:t>
      </w:r>
    </w:p>
    <w:p w:rsidR="00931D4D" w:rsidRPr="00E02065" w:rsidRDefault="00931D4D" w:rsidP="00931D4D">
      <w:pPr>
        <w:jc w:val="both"/>
        <w:rPr>
          <w:rFonts w:asciiTheme="majorBidi" w:eastAsia="Calibri" w:hAnsiTheme="majorBidi" w:cstheme="majorBidi"/>
          <w:sz w:val="32"/>
          <w:szCs w:val="32"/>
        </w:rPr>
      </w:pPr>
      <w:r w:rsidRPr="00E02065">
        <w:rPr>
          <w:rFonts w:asciiTheme="majorBidi" w:eastAsia="Calibri" w:hAnsiTheme="majorBidi" w:cstheme="majorBidi"/>
          <w:sz w:val="32"/>
          <w:szCs w:val="32"/>
        </w:rPr>
        <w:t xml:space="preserve">  The results demonstrated that, among Gram negative bacteria, most types revealed high levels of resistance against most antibiotics:</w:t>
      </w:r>
      <w:r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E02065">
        <w:rPr>
          <w:rFonts w:asciiTheme="majorBidi" w:eastAsia="Calibri" w:hAnsiTheme="majorBidi" w:cstheme="majorBidi"/>
          <w:sz w:val="32"/>
          <w:szCs w:val="32"/>
        </w:rPr>
        <w:t>&gt;70%Ampicillin(AMP),</w:t>
      </w:r>
      <w:r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E02065">
        <w:rPr>
          <w:rFonts w:asciiTheme="majorBidi" w:eastAsia="Calibri" w:hAnsiTheme="majorBidi" w:cstheme="majorBidi"/>
          <w:sz w:val="32"/>
          <w:szCs w:val="32"/>
        </w:rPr>
        <w:t>&gt;70%Rifampicin(RIF), &gt;60%Carbencillin(CB), &gt;60%Amoxiclave(AMC), and &gt;50%Trimethoprime(TMP).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 Pseudomonas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aeruginosa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 and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Klebsiella</w:t>
      </w:r>
      <w:proofErr w:type="spellEnd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pneumonia</w:t>
      </w:r>
      <w:r w:rsidRPr="00E02065">
        <w:rPr>
          <w:rFonts w:asciiTheme="majorBidi" w:eastAsia="Calibri" w:hAnsiTheme="majorBidi" w:cstheme="majorBidi"/>
          <w:sz w:val="32"/>
          <w:szCs w:val="32"/>
        </w:rPr>
        <w:t>e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E02065">
        <w:rPr>
          <w:rFonts w:asciiTheme="majorBidi" w:hAnsiTheme="majorBidi" w:cstheme="majorBidi"/>
          <w:sz w:val="32"/>
          <w:szCs w:val="32"/>
        </w:rPr>
        <w:t>have highest levels of resistance for most antibiotics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 with multi-drug resistance.</w:t>
      </w:r>
    </w:p>
    <w:p w:rsidR="00931D4D" w:rsidRPr="00E02065" w:rsidRDefault="00931D4D" w:rsidP="00931D4D">
      <w:pPr>
        <w:jc w:val="both"/>
        <w:rPr>
          <w:rFonts w:asciiTheme="majorBidi" w:eastAsia="Calibri" w:hAnsiTheme="majorBidi" w:cstheme="majorBidi"/>
          <w:sz w:val="32"/>
          <w:szCs w:val="32"/>
        </w:rPr>
      </w:pPr>
      <w:r w:rsidRPr="00E02065">
        <w:rPr>
          <w:rFonts w:asciiTheme="majorBidi" w:eastAsia="Calibri" w:hAnsiTheme="majorBidi" w:cstheme="majorBidi"/>
          <w:sz w:val="32"/>
          <w:szCs w:val="32"/>
        </w:rPr>
        <w:t xml:space="preserve">   In Gram positive bacteria, 100% resist</w:t>
      </w:r>
      <w:r>
        <w:rPr>
          <w:rFonts w:asciiTheme="majorBidi" w:eastAsia="Calibri" w:hAnsiTheme="majorBidi" w:cstheme="majorBidi"/>
          <w:sz w:val="32"/>
          <w:szCs w:val="32"/>
        </w:rPr>
        <w:t>ance was shown to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 </w:t>
      </w:r>
      <w:proofErr w:type="spellStart"/>
      <w:r w:rsidRPr="00E02065">
        <w:rPr>
          <w:rFonts w:asciiTheme="majorBidi" w:eastAsia="Calibri" w:hAnsiTheme="majorBidi" w:cstheme="majorBidi"/>
          <w:sz w:val="32"/>
          <w:szCs w:val="32"/>
        </w:rPr>
        <w:t>Amoxiclave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. Most types of </w:t>
      </w:r>
      <w:r>
        <w:rPr>
          <w:rFonts w:asciiTheme="majorBidi" w:eastAsia="Calibri" w:hAnsiTheme="majorBidi" w:cstheme="majorBidi"/>
          <w:sz w:val="32"/>
          <w:szCs w:val="32"/>
        </w:rPr>
        <w:t xml:space="preserve">these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bacteria revealed high levels of resistance against two antibiotics, &gt;80% </w:t>
      </w:r>
      <w:proofErr w:type="spellStart"/>
      <w:r w:rsidRPr="00E02065">
        <w:rPr>
          <w:rFonts w:asciiTheme="majorBidi" w:eastAsia="Calibri" w:hAnsiTheme="majorBidi" w:cstheme="majorBidi"/>
          <w:sz w:val="32"/>
          <w:szCs w:val="32"/>
        </w:rPr>
        <w:t>Amoxiclave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>(AMC) and &gt;70%</w:t>
      </w:r>
      <w:r w:rsidRPr="00E02065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02065">
        <w:rPr>
          <w:rFonts w:asciiTheme="majorBidi" w:hAnsiTheme="majorBidi" w:cstheme="majorBidi"/>
          <w:sz w:val="32"/>
          <w:szCs w:val="32"/>
        </w:rPr>
        <w:t>Ceftazidime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(CAZ), while </w:t>
      </w:r>
      <w:r w:rsidRPr="00E02065">
        <w:rPr>
          <w:rFonts w:asciiTheme="majorBidi" w:hAnsiTheme="majorBidi" w:cstheme="majorBidi"/>
          <w:sz w:val="32"/>
          <w:szCs w:val="32"/>
        </w:rPr>
        <w:t xml:space="preserve">low levels (0-20%) were recorded in Ciprofloxacin(CIP), </w:t>
      </w:r>
      <w:proofErr w:type="spellStart"/>
      <w:r w:rsidRPr="00E02065">
        <w:rPr>
          <w:rFonts w:asciiTheme="majorBidi" w:hAnsiTheme="majorBidi" w:cstheme="majorBidi"/>
          <w:sz w:val="32"/>
          <w:szCs w:val="32"/>
        </w:rPr>
        <w:t>Norfloxacin</w:t>
      </w:r>
      <w:proofErr w:type="spellEnd"/>
      <w:r w:rsidRPr="00E02065">
        <w:rPr>
          <w:rFonts w:asciiTheme="majorBidi" w:hAnsiTheme="majorBidi" w:cstheme="majorBidi"/>
          <w:sz w:val="32"/>
          <w:szCs w:val="32"/>
        </w:rPr>
        <w:t xml:space="preserve">(NX), </w:t>
      </w:r>
      <w:r w:rsidRPr="00E02065">
        <w:rPr>
          <w:rFonts w:asciiTheme="majorBidi" w:eastAsia="Calibri" w:hAnsiTheme="majorBidi" w:cstheme="majorBidi"/>
          <w:sz w:val="32"/>
          <w:szCs w:val="32"/>
        </w:rPr>
        <w:t>Rifampicin</w:t>
      </w:r>
      <w:r w:rsidRPr="00E02065">
        <w:rPr>
          <w:rFonts w:asciiTheme="majorBidi" w:hAnsiTheme="majorBidi" w:cstheme="majorBidi"/>
          <w:sz w:val="32"/>
          <w:szCs w:val="32"/>
        </w:rPr>
        <w:t xml:space="preserve">(RIF), Chloramphenicol(C) and </w:t>
      </w:r>
      <w:proofErr w:type="spellStart"/>
      <w:r w:rsidRPr="00E02065">
        <w:rPr>
          <w:rFonts w:asciiTheme="majorBidi" w:hAnsiTheme="majorBidi" w:cstheme="majorBidi"/>
          <w:sz w:val="32"/>
          <w:szCs w:val="32"/>
        </w:rPr>
        <w:t>Clindomycin</w:t>
      </w:r>
      <w:proofErr w:type="spellEnd"/>
      <w:r w:rsidRPr="00E02065">
        <w:rPr>
          <w:rFonts w:asciiTheme="majorBidi" w:hAnsiTheme="majorBidi" w:cstheme="majorBidi"/>
          <w:sz w:val="32"/>
          <w:szCs w:val="32"/>
        </w:rPr>
        <w:t>(DA)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. </w:t>
      </w:r>
      <w:r w:rsidRPr="00E02065">
        <w:rPr>
          <w:rFonts w:asciiTheme="majorBidi" w:hAnsiTheme="majorBidi" w:cstheme="majorBidi"/>
          <w:i/>
          <w:iCs/>
          <w:sz w:val="32"/>
          <w:szCs w:val="32"/>
        </w:rPr>
        <w:t xml:space="preserve"> Staphylococcus </w:t>
      </w:r>
      <w:proofErr w:type="spellStart"/>
      <w:r w:rsidRPr="00E02065">
        <w:rPr>
          <w:rFonts w:asciiTheme="majorBidi" w:hAnsiTheme="majorBidi" w:cstheme="majorBidi"/>
          <w:i/>
          <w:iCs/>
          <w:sz w:val="32"/>
          <w:szCs w:val="32"/>
        </w:rPr>
        <w:t>aureus</w:t>
      </w:r>
      <w:proofErr w:type="spellEnd"/>
      <w:r w:rsidRPr="00E02065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E02065">
        <w:rPr>
          <w:rFonts w:asciiTheme="majorBidi" w:hAnsiTheme="majorBidi" w:cstheme="majorBidi"/>
          <w:sz w:val="32"/>
          <w:szCs w:val="32"/>
        </w:rPr>
        <w:t xml:space="preserve">and </w:t>
      </w:r>
      <w:r w:rsidRPr="00E02065">
        <w:rPr>
          <w:rFonts w:asciiTheme="majorBidi" w:hAnsiTheme="majorBidi" w:cstheme="majorBidi"/>
          <w:i/>
          <w:iCs/>
          <w:sz w:val="32"/>
          <w:szCs w:val="32"/>
        </w:rPr>
        <w:t xml:space="preserve">Enterococcus </w:t>
      </w:r>
      <w:proofErr w:type="spellStart"/>
      <w:r w:rsidRPr="00E02065">
        <w:rPr>
          <w:rFonts w:asciiTheme="majorBidi" w:hAnsiTheme="majorBidi" w:cstheme="majorBidi"/>
          <w:i/>
          <w:iCs/>
          <w:sz w:val="32"/>
          <w:szCs w:val="32"/>
        </w:rPr>
        <w:t>faecalis</w:t>
      </w:r>
      <w:proofErr w:type="spellEnd"/>
      <w:r w:rsidRPr="00E02065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E02065">
        <w:rPr>
          <w:rFonts w:asciiTheme="majorBidi" w:hAnsiTheme="majorBidi" w:cstheme="majorBidi"/>
          <w:sz w:val="32"/>
          <w:szCs w:val="32"/>
        </w:rPr>
        <w:t>have highest levels of resistance for most antibiotics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 with multi-drug resistance.</w:t>
      </w:r>
    </w:p>
    <w:p w:rsidR="00931D4D" w:rsidRPr="00E02065" w:rsidRDefault="00931D4D" w:rsidP="00931D4D">
      <w:pPr>
        <w:jc w:val="both"/>
        <w:rPr>
          <w:rFonts w:eastAsia="Calibri"/>
          <w:sz w:val="32"/>
          <w:szCs w:val="32"/>
          <w:rtl/>
        </w:rPr>
      </w:pPr>
      <w:r w:rsidRPr="00E02065">
        <w:rPr>
          <w:rFonts w:eastAsia="Calibri"/>
          <w:sz w:val="32"/>
          <w:szCs w:val="32"/>
          <w:lang w:bidi="ar-IQ"/>
        </w:rPr>
        <w:t>The results of</w:t>
      </w:r>
      <w:r w:rsidRPr="00E02065">
        <w:rPr>
          <w:rFonts w:eastAsia="Calibri"/>
          <w:sz w:val="32"/>
          <w:szCs w:val="32"/>
        </w:rPr>
        <w:t xml:space="preserve"> Minimum Inhibitory Concentrations</w:t>
      </w:r>
      <w:r w:rsidRPr="00E02065">
        <w:rPr>
          <w:rFonts w:eastAsia="Calibri"/>
          <w:sz w:val="32"/>
          <w:szCs w:val="32"/>
          <w:lang w:bidi="ar-IQ"/>
        </w:rPr>
        <w:t xml:space="preserve">(MIC) </w:t>
      </w:r>
      <w:r w:rsidRPr="00E02065">
        <w:rPr>
          <w:rFonts w:eastAsia="Calibri"/>
          <w:sz w:val="32"/>
          <w:szCs w:val="32"/>
        </w:rPr>
        <w:t xml:space="preserve">by using </w:t>
      </w:r>
      <w:proofErr w:type="spellStart"/>
      <w:r w:rsidRPr="00E02065">
        <w:rPr>
          <w:rFonts w:eastAsia="Calibri"/>
          <w:sz w:val="32"/>
          <w:szCs w:val="32"/>
        </w:rPr>
        <w:t>HiComb</w:t>
      </w:r>
      <w:proofErr w:type="spellEnd"/>
      <w:r w:rsidRPr="00E02065">
        <w:rPr>
          <w:rFonts w:eastAsia="Calibri"/>
          <w:sz w:val="32"/>
          <w:szCs w:val="32"/>
        </w:rPr>
        <w:t xml:space="preserve"> test</w:t>
      </w:r>
      <w:r w:rsidRPr="00E02065">
        <w:rPr>
          <w:rFonts w:eastAsia="Calibri"/>
          <w:sz w:val="32"/>
          <w:szCs w:val="32"/>
          <w:lang w:bidi="ar-IQ"/>
        </w:rPr>
        <w:t xml:space="preserve"> showed that 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Pseudomonas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aeruginosa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 has 100% resistance for </w:t>
      </w:r>
      <w:proofErr w:type="spellStart"/>
      <w:r w:rsidRPr="00E02065">
        <w:rPr>
          <w:rFonts w:asciiTheme="majorBidi" w:eastAsia="Calibri" w:hAnsiTheme="majorBidi" w:cstheme="majorBidi"/>
          <w:sz w:val="32"/>
          <w:szCs w:val="32"/>
        </w:rPr>
        <w:t>Amoxiclave</w:t>
      </w:r>
      <w:proofErr w:type="spellEnd"/>
      <w:r w:rsidRPr="00E02065">
        <w:rPr>
          <w:rFonts w:asciiTheme="majorBidi" w:eastAsia="Calibri" w:hAnsiTheme="majorBidi" w:cstheme="majorBidi"/>
          <w:sz w:val="32"/>
          <w:szCs w:val="32"/>
        </w:rPr>
        <w:t xml:space="preserve"> with </w:t>
      </w:r>
      <w:r w:rsidRPr="00E02065">
        <w:rPr>
          <w:rFonts w:eastAsia="Calibri"/>
          <w:sz w:val="32"/>
          <w:szCs w:val="32"/>
        </w:rPr>
        <w:t xml:space="preserve">MIC values ranged between </w:t>
      </w:r>
      <w:r w:rsidRPr="00E02065">
        <w:rPr>
          <w:rFonts w:eastAsia="Calibri"/>
          <w:sz w:val="32"/>
          <w:szCs w:val="32"/>
          <w:lang w:bidi="ar-IQ"/>
        </w:rPr>
        <w:t>4-240</w:t>
      </w:r>
      <w:r w:rsidRPr="00E02065">
        <w:rPr>
          <w:rFonts w:eastAsia="Calibri"/>
          <w:sz w:val="32"/>
          <w:szCs w:val="32"/>
        </w:rPr>
        <w:t xml:space="preserve">μg/ml, followed by 70% resistance for </w:t>
      </w:r>
      <w:r w:rsidRPr="00E02065">
        <w:rPr>
          <w:rFonts w:asciiTheme="majorBidi" w:hAnsiTheme="majorBidi" w:cstheme="majorBidi"/>
          <w:sz w:val="32"/>
          <w:szCs w:val="32"/>
        </w:rPr>
        <w:t>Chloramphenicol</w:t>
      </w:r>
      <w:r w:rsidRPr="00E02065">
        <w:rPr>
          <w:rFonts w:eastAsia="Calibri"/>
          <w:sz w:val="32"/>
          <w:szCs w:val="32"/>
        </w:rPr>
        <w:t xml:space="preserve">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with </w:t>
      </w:r>
      <w:r w:rsidRPr="00E02065">
        <w:rPr>
          <w:rFonts w:eastAsia="Calibri"/>
          <w:sz w:val="32"/>
          <w:szCs w:val="32"/>
        </w:rPr>
        <w:t xml:space="preserve">MIC values ranged between 4-120 </w:t>
      </w:r>
      <w:proofErr w:type="spellStart"/>
      <w:r w:rsidRPr="00E02065">
        <w:rPr>
          <w:rFonts w:eastAsia="Calibri"/>
          <w:sz w:val="32"/>
          <w:szCs w:val="32"/>
        </w:rPr>
        <w:t>μg</w:t>
      </w:r>
      <w:proofErr w:type="spellEnd"/>
      <w:r w:rsidRPr="00E02065">
        <w:rPr>
          <w:rFonts w:eastAsia="Calibri"/>
          <w:sz w:val="32"/>
          <w:szCs w:val="32"/>
        </w:rPr>
        <w:t xml:space="preserve">/ml. whereas  </w:t>
      </w:r>
      <w:r w:rsidRPr="00E02065">
        <w:rPr>
          <w:rFonts w:asciiTheme="majorBidi" w:hAnsiTheme="majorBidi" w:cstheme="majorBidi"/>
          <w:i/>
          <w:iCs/>
          <w:sz w:val="32"/>
          <w:szCs w:val="32"/>
        </w:rPr>
        <w:t xml:space="preserve">Staphylococcus </w:t>
      </w:r>
      <w:proofErr w:type="spellStart"/>
      <w:r w:rsidRPr="00E02065">
        <w:rPr>
          <w:rFonts w:asciiTheme="majorBidi" w:hAnsiTheme="majorBidi" w:cstheme="majorBidi"/>
          <w:i/>
          <w:iCs/>
          <w:sz w:val="32"/>
          <w:szCs w:val="32"/>
        </w:rPr>
        <w:t>aureus</w:t>
      </w:r>
      <w:proofErr w:type="spellEnd"/>
      <w:r w:rsidRPr="00E02065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E02065">
        <w:rPr>
          <w:rFonts w:eastAsia="Calibri"/>
          <w:sz w:val="32"/>
          <w:szCs w:val="32"/>
        </w:rPr>
        <w:t xml:space="preserve">has 100% resistance for both Methicillin and </w:t>
      </w:r>
      <w:proofErr w:type="spellStart"/>
      <w:r w:rsidRPr="00E02065">
        <w:rPr>
          <w:rFonts w:eastAsia="Calibri"/>
          <w:sz w:val="32"/>
          <w:szCs w:val="32"/>
        </w:rPr>
        <w:t>Oxacillin</w:t>
      </w:r>
      <w:proofErr w:type="spellEnd"/>
      <w:r w:rsidRPr="00E02065">
        <w:rPr>
          <w:rFonts w:eastAsia="Calibri"/>
          <w:sz w:val="32"/>
          <w:szCs w:val="32"/>
        </w:rPr>
        <w:t xml:space="preserve"> 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with </w:t>
      </w:r>
      <w:r w:rsidRPr="00E02065">
        <w:rPr>
          <w:rFonts w:eastAsia="Calibri"/>
          <w:sz w:val="32"/>
          <w:szCs w:val="32"/>
        </w:rPr>
        <w:t xml:space="preserve">MIC values ranged between     5-240μg/ml and 32-256μg/ml respectively. While 0% resistance reported in </w:t>
      </w:r>
      <w:proofErr w:type="spellStart"/>
      <w:r w:rsidRPr="00E02065">
        <w:rPr>
          <w:rFonts w:eastAsia="Calibri"/>
          <w:sz w:val="32"/>
          <w:szCs w:val="32"/>
        </w:rPr>
        <w:t>Vancomycin</w:t>
      </w:r>
      <w:proofErr w:type="spellEnd"/>
      <w:r w:rsidRPr="00E02065">
        <w:rPr>
          <w:rFonts w:eastAsia="Calibri"/>
          <w:sz w:val="32"/>
          <w:szCs w:val="32"/>
        </w:rPr>
        <w:t xml:space="preserve">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with </w:t>
      </w:r>
      <w:r w:rsidRPr="00E02065">
        <w:rPr>
          <w:rFonts w:eastAsia="Calibri"/>
          <w:sz w:val="32"/>
          <w:szCs w:val="32"/>
        </w:rPr>
        <w:t xml:space="preserve">MIC values ranged between  0.024-0.512μg/ml.   </w:t>
      </w:r>
    </w:p>
    <w:p w:rsidR="00931D4D" w:rsidRPr="00E02065" w:rsidRDefault="00931D4D" w:rsidP="00931D4D">
      <w:pPr>
        <w:jc w:val="both"/>
        <w:rPr>
          <w:rFonts w:eastAsia="Calibri"/>
          <w:sz w:val="32"/>
          <w:szCs w:val="32"/>
          <w:rtl/>
        </w:rPr>
      </w:pPr>
      <w:r w:rsidRPr="00E02065">
        <w:rPr>
          <w:sz w:val="32"/>
          <w:szCs w:val="32"/>
        </w:rPr>
        <w:t xml:space="preserve">    Molecular detection by PCR  was performed to </w:t>
      </w:r>
      <w:r w:rsidRPr="00E02065">
        <w:rPr>
          <w:rFonts w:eastAsia="Calibri"/>
          <w:sz w:val="32"/>
          <w:szCs w:val="32"/>
        </w:rPr>
        <w:t xml:space="preserve">detect the presence of responsible genes of resistance for several </w:t>
      </w:r>
      <w:r w:rsidRPr="00E02065">
        <w:rPr>
          <w:rFonts w:eastAsia="Calibri"/>
          <w:sz w:val="32"/>
          <w:szCs w:val="32"/>
        </w:rPr>
        <w:lastRenderedPageBreak/>
        <w:t xml:space="preserve">antibiotics. The results demonstrated that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among 35 isolates of 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Pseudomonas</w:t>
      </w:r>
      <w:r w:rsidRPr="00E02065">
        <w:rPr>
          <w:rFonts w:asciiTheme="majorBidi" w:eastAsiaTheme="minorEastAsia" w:hAnsiTheme="majorBidi" w:cstheme="majorBidi"/>
          <w:i/>
          <w:iCs/>
          <w:sz w:val="32"/>
          <w:szCs w:val="32"/>
          <w:lang w:bidi="ar-IQ"/>
        </w:rPr>
        <w:t xml:space="preserve"> </w:t>
      </w:r>
      <w:proofErr w:type="spellStart"/>
      <w:r w:rsidRPr="00E02065">
        <w:rPr>
          <w:rFonts w:asciiTheme="majorBidi" w:eastAsiaTheme="minorEastAsia" w:hAnsiTheme="majorBidi" w:cstheme="majorBidi"/>
          <w:i/>
          <w:iCs/>
          <w:sz w:val="32"/>
          <w:szCs w:val="32"/>
          <w:lang w:bidi="ar-IQ"/>
        </w:rPr>
        <w:t>aeruginosa</w:t>
      </w:r>
      <w:proofErr w:type="spellEnd"/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>, highest incidence was 51.4% for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   arr-2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>gene (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for Rifampicin resistance)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followed by 49%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aac</w:t>
      </w:r>
      <w:proofErr w:type="spellEnd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(3)I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>( for Gentamicin resistance) and 37%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  <w:vertAlign w:val="superscript"/>
        </w:rPr>
        <w:t xml:space="preserve">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  <w:vertAlign w:val="superscript"/>
        </w:rPr>
        <w:t>bla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CARB</w:t>
      </w:r>
      <w:proofErr w:type="spellEnd"/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(for </w:t>
      </w:r>
      <w:proofErr w:type="spellStart"/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>Carbenicillin</w:t>
      </w:r>
      <w:proofErr w:type="spellEnd"/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resistance). The distribution of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en-US"/>
        </w:rPr>
        <w:t xml:space="preserve">these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>genes varied in respect to the isolation source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.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On the other hand,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among 35 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Staphylococcus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aureus</w:t>
      </w:r>
      <w:proofErr w:type="spellEnd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 </w:t>
      </w:r>
      <w:r w:rsidRPr="00E02065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>isolates were determined previously as MRSA by phenotypic methods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91.4% have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mecA</w:t>
      </w:r>
      <w:proofErr w:type="spellEnd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gene( for Methicillin resistance). followed by 37% 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have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nuc</w:t>
      </w:r>
      <w:proofErr w:type="spellEnd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 gene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 for identification of </w:t>
      </w:r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 xml:space="preserve">Staphylococcus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aureus</w:t>
      </w:r>
      <w:proofErr w:type="spellEnd"/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) and 2.9% </w:t>
      </w:r>
      <w:r w:rsidRPr="00E02065">
        <w:rPr>
          <w:rFonts w:asciiTheme="majorBidi" w:eastAsia="Calibri" w:hAnsiTheme="majorBidi" w:cstheme="majorBidi"/>
          <w:sz w:val="32"/>
          <w:szCs w:val="32"/>
        </w:rPr>
        <w:t xml:space="preserve"> have </w:t>
      </w:r>
      <w:proofErr w:type="spellStart"/>
      <w:r w:rsidRPr="00E02065">
        <w:rPr>
          <w:rFonts w:asciiTheme="majorBidi" w:eastAsia="Calibri" w:hAnsiTheme="majorBidi" w:cstheme="majorBidi"/>
          <w:i/>
          <w:iCs/>
          <w:sz w:val="32"/>
          <w:szCs w:val="32"/>
        </w:rPr>
        <w:t>vanA</w:t>
      </w:r>
      <w:proofErr w:type="spellEnd"/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 for </w:t>
      </w:r>
      <w:proofErr w:type="spellStart"/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>Vancomycin</w:t>
      </w:r>
      <w:proofErr w:type="spellEnd"/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resistance). The distribution of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en-US"/>
        </w:rPr>
        <w:t xml:space="preserve">these </w:t>
      </w:r>
      <w:r w:rsidRPr="00E02065">
        <w:rPr>
          <w:rFonts w:asciiTheme="majorBidi" w:eastAsiaTheme="minorEastAsia" w:hAnsiTheme="majorBidi" w:cstheme="majorBidi"/>
          <w:sz w:val="32"/>
          <w:szCs w:val="32"/>
          <w:lang w:bidi="ar-IQ"/>
        </w:rPr>
        <w:t>genes varied in respect to the isolation source</w:t>
      </w:r>
      <w:r w:rsidRPr="00E02065">
        <w:rPr>
          <w:rFonts w:asciiTheme="majorBidi" w:hAnsiTheme="majorBidi" w:cstheme="majorBidi"/>
          <w:i/>
          <w:iCs/>
          <w:sz w:val="32"/>
          <w:szCs w:val="32"/>
        </w:rPr>
        <w:t xml:space="preserve">. </w:t>
      </w:r>
    </w:p>
    <w:p w:rsidR="00931D4D" w:rsidRPr="00E02065" w:rsidRDefault="00931D4D" w:rsidP="00931D4D">
      <w:pPr>
        <w:rPr>
          <w:rFonts w:eastAsia="Calibri"/>
          <w:sz w:val="32"/>
          <w:szCs w:val="32"/>
          <w:rtl/>
        </w:rPr>
      </w:pPr>
    </w:p>
    <w:p w:rsidR="00931D4D" w:rsidRPr="00E02065" w:rsidRDefault="00931D4D" w:rsidP="00931D4D">
      <w:pPr>
        <w:rPr>
          <w:rFonts w:asciiTheme="majorBidi" w:hAnsiTheme="majorBidi" w:cstheme="majorBidi"/>
          <w:sz w:val="32"/>
          <w:szCs w:val="32"/>
        </w:rPr>
      </w:pPr>
    </w:p>
    <w:p w:rsidR="00931D4D" w:rsidRPr="00E02065" w:rsidRDefault="00931D4D" w:rsidP="00931D4D">
      <w:pPr>
        <w:rPr>
          <w:sz w:val="32"/>
          <w:szCs w:val="32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Default="00931D4D" w:rsidP="00931D4D">
      <w:pPr>
        <w:rPr>
          <w:b/>
          <w:bCs/>
          <w:sz w:val="36"/>
          <w:szCs w:val="36"/>
        </w:rPr>
      </w:pPr>
    </w:p>
    <w:p w:rsidR="00931D4D" w:rsidRPr="001A34F4" w:rsidRDefault="00931D4D" w:rsidP="00931D4D">
      <w:pPr>
        <w:spacing w:line="360" w:lineRule="auto"/>
        <w:rPr>
          <w:rFonts w:asciiTheme="majorBidi" w:hAnsiTheme="majorBidi" w:cstheme="majorBidi"/>
          <w:sz w:val="40"/>
          <w:szCs w:val="40"/>
          <w:rtl/>
        </w:rPr>
      </w:pPr>
      <w:r w:rsidRPr="001A34F4">
        <w:rPr>
          <w:rFonts w:asciiTheme="majorBidi" w:hAnsiTheme="majorBidi" w:cstheme="majorBidi"/>
          <w:sz w:val="40"/>
          <w:szCs w:val="40"/>
          <w:rtl/>
        </w:rPr>
        <w:lastRenderedPageBreak/>
        <w:t>الخلاصة</w:t>
      </w:r>
    </w:p>
    <w:p w:rsidR="00931D4D" w:rsidRDefault="00931D4D" w:rsidP="00931D4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تم في هذه الدراسة جمع 666 عينة مختلفة من مستشفى بابل التعليمي للولادة والأطفال خلال مدة سنة واحدة (من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آذار 2012 ولغاية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30- 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شباط 2013). توزعت العينات على ثلاثة مجاميع: المجموعة الأولى شملت 490 عينة جمعت من الأطفال الخدج وحديثي الولادة الراقدين في وحدات الخدج(الخدج المنزلي والخدج المعقم) ووحدة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الأنعاش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الذين تراوحت أعمارهم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مابين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1-90 يوما ومن كلا الجنسين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 هذه ال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عينات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شملت 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الدم,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الأدرار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, سائل النخاع الشوكي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ومسحات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مختلفة من جسم الطفل و حسب حالة الاصابة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(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الفم,الحبل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السري, الجلد, العين, افرازات الجهاز التنفسي, الأنف وجروح العمليات الجراحية). المجموعة الثانية شملت 74 عينة جمعت من الأمهات وشملت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مسحات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مهبلية من النساء الحوامل ,عينات السائل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الأمنوسي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الأمهات داخل صالة الولادة, دم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الحبل السري من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أطفال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المولود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ين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حديثا في صالة الولادة؛ المجموعة الثالثة شملت 102 عينة بيئية جمعت من مواقع مختلفة من بيئة المستشفى تضمنت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مسحات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كمامة جهاز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الأستنشاق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الكهربائي,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الكا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نولا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, صالة العمليات القيصرية, 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حاضنة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الخدج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, وحدة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الكورتاج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, الأرضية والسرير في صالة الولادة, المطهرات, جهاز سحب السوائل وأخيرا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القثاطر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بين 666 عينة,</w:t>
      </w:r>
      <w:r w:rsidRPr="001A34F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403(61</w:t>
      </w:r>
      <w:r w:rsidRPr="001A34F4">
        <w:rPr>
          <w:rFonts w:asciiTheme="majorBidi" w:hAnsiTheme="majorBidi" w:cstheme="majorBidi"/>
          <w:sz w:val="28"/>
          <w:szCs w:val="28"/>
          <w:lang w:bidi="ar-IQ"/>
        </w:rPr>
        <w:t>%</w:t>
      </w:r>
      <w:r w:rsidRPr="001A34F4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1A34F4">
        <w:rPr>
          <w:rFonts w:asciiTheme="majorBidi" w:hAnsiTheme="majorBidi" w:cstheme="majorBidi"/>
          <w:sz w:val="28"/>
          <w:szCs w:val="28"/>
          <w:rtl/>
        </w:rPr>
        <w:t xml:space="preserve"> عينة اعطت نمو بكتيري وتوزعت بين: 334(68%) عينات أطفال؛ 40(54%) عينة أمهات و 29(28%) عينة بيئية. بينما 263(39%) لم تعطي نموا.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A34F4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تم خلال الدراسة عزل وتشخيص 510 عزلة بكتيرية حيث سادت البكتريا السالبة لصبغة غرام بنسبة 284(56%) على البكتريا الموجبة 226(44%) ومن بين الانواع البكتيرية السالبة احتلت بكتيريا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الزوائف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الزنجارية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الصدارة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بنسب</w:t>
      </w:r>
      <w:r>
        <w:rPr>
          <w:rFonts w:asciiTheme="majorBidi" w:hAnsiTheme="majorBidi" w:cstheme="majorBidi" w:hint="cs"/>
          <w:sz w:val="28"/>
          <w:szCs w:val="28"/>
          <w:rtl/>
        </w:rPr>
        <w:t>ة  19,7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%  تلتها بكتيريا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الكلبسيلا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نيمونيا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>1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5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,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8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% في حين كانت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مكورات العنقودية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هي السائدة من بين البكتريا الموجبة لصبغة غرام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و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كانت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العنقوديات الذهبية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هي </w:t>
      </w:r>
      <w:proofErr w:type="spellStart"/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السائده</w:t>
      </w:r>
      <w:proofErr w:type="spellEnd"/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بينها أذ سجلت 38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,2% 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.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تعددت مصادر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الأصابات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البكتيرية للأطفال حديثي 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الولادة 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فمنها اصابات داخل الرحم وأخرى خلال الولادة وثالثة تكتسب بعد الولادة كعدوى المستشفيات. وفي هذا البحث كانت الأم هي المصدر الأكثر شيوعا لهذه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الأصابات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أذ تم الحصول على 56 عزلة من الأمهات توزعت بين 30,4% سالبة لصبغة غرام و 69,6% موجبة لصبغة غرام.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lastRenderedPageBreak/>
        <w:t xml:space="preserve">   تناولت هذه الدراسة العديد من عوامل الخطورة التي تزيد من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أحتمالية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حدوث أصابات الأطفال حديثي الولادة ومنها الخداجة, انخفاض الوزن عند الولادة, الجنس, وقت حدوث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الأصابة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, طريقة الولادة والحالة الصحية للأم خلال الحمل والولادة. وقد تبين أن الخداجة هي العامل الأكثر تأثيرا.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أظهرت نتائج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أختبارات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الحساسية للمضادات الحيوية أن معظم الأنواع البكتيرية السالبة والموجبة لصبغة غرام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أمتلكت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مقاومة عالية 100%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للبنسلينات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والسيفالوسبورينات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بينما أعطت حساسية تامة 100% لمضادات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الأميبينيم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والميروبينيم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في حين تباينت المقاومة 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لأنواع المضادات الأخرى حسب نوع البكتريا. وسجلت اعلى مستويات المقاومة </w:t>
      </w:r>
      <w:r>
        <w:rPr>
          <w:rFonts w:asciiTheme="majorBidi" w:eastAsia="Calibri" w:hAnsiTheme="majorBidi" w:cstheme="majorBidi"/>
          <w:sz w:val="28"/>
          <w:szCs w:val="28"/>
          <w:rtl/>
          <w:lang w:bidi="ar-IQ"/>
        </w:rPr>
        <w:t>ضد أغلب المضادات الحيوية من قبل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الزوائف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الزنجارية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والكلبسيلا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نيمونيا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من بين الأنواع السالبة لصبغة غرام والعنقوديات الذهبية والمكورات المعوية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البرازية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من بين الأنواع الموجبة لصبغة غرام.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لقد 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تبين من خلال نتائج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أختبار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التركيز المثبط الأدنى للمضادات الحيوية </w:t>
      </w:r>
      <w:r w:rsidRPr="001A34F4">
        <w:rPr>
          <w:rFonts w:asciiTheme="majorBidi" w:eastAsia="Calibri" w:hAnsiTheme="majorBidi" w:cstheme="majorBidi"/>
          <w:sz w:val="28"/>
          <w:szCs w:val="28"/>
          <w:lang w:bidi="ar-IQ"/>
        </w:rPr>
        <w:t>MIC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أن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الزوائف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الزنجارية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امتلكت مقاومة 100%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للأموكسيكليف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بقيم بين 4-120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مايكروغرام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في حين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أمتلكت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العنقوديات الذهبية مقاومة 100% لكل من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المثيسلين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والأوكساسلين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بقيم بين 5-240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مايكروغرام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؛ 32-256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مايكروغرام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على الت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و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الي بينما كانت حساسة 100% تجاه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الفانكومايسين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.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 تم التحري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جزيئيئا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عن بعض الجينات المسؤولة عن المقاومة تجاه عدد من المضادات الحيوية وقد كشفت النتائج أن من بين 35 عزلة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للزوائف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الزنجارية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هناك 51,4% تمتلك الجين </w:t>
      </w:r>
      <w:r w:rsidRPr="001A34F4">
        <w:rPr>
          <w:rFonts w:asciiTheme="majorBidi" w:hAnsiTheme="majorBidi" w:cstheme="majorBidi"/>
          <w:i/>
          <w:iCs/>
          <w:sz w:val="28"/>
          <w:szCs w:val="28"/>
        </w:rPr>
        <w:t>arr-2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المسؤول عن المقاومة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للريفامبسين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؛  48,6% تمتلك الجين  </w:t>
      </w:r>
      <w:proofErr w:type="spellStart"/>
      <w:r w:rsidRPr="001A34F4">
        <w:rPr>
          <w:rFonts w:asciiTheme="majorBidi" w:hAnsiTheme="majorBidi" w:cstheme="majorBidi"/>
          <w:i/>
          <w:iCs/>
          <w:sz w:val="28"/>
          <w:szCs w:val="28"/>
        </w:rPr>
        <w:t>aac</w:t>
      </w:r>
      <w:proofErr w:type="spellEnd"/>
      <w:r w:rsidRPr="001A34F4">
        <w:rPr>
          <w:rFonts w:asciiTheme="majorBidi" w:hAnsiTheme="majorBidi" w:cstheme="majorBidi"/>
          <w:i/>
          <w:iCs/>
          <w:sz w:val="28"/>
          <w:szCs w:val="28"/>
        </w:rPr>
        <w:t>(3)I</w:t>
      </w:r>
      <w:r w:rsidRPr="001A34F4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1A34F4">
        <w:rPr>
          <w:rFonts w:asciiTheme="majorBidi" w:hAnsiTheme="majorBidi" w:cstheme="majorBidi"/>
          <w:sz w:val="28"/>
          <w:szCs w:val="28"/>
          <w:rtl/>
        </w:rPr>
        <w:t xml:space="preserve"> المسؤول عن المقاومة </w:t>
      </w:r>
      <w:proofErr w:type="spellStart"/>
      <w:r w:rsidRPr="001A34F4">
        <w:rPr>
          <w:rFonts w:asciiTheme="majorBidi" w:hAnsiTheme="majorBidi" w:cstheme="majorBidi"/>
          <w:sz w:val="28"/>
          <w:szCs w:val="28"/>
          <w:rtl/>
        </w:rPr>
        <w:t>للجنتامايسين</w:t>
      </w:r>
      <w:proofErr w:type="spellEnd"/>
      <w:r w:rsidRPr="001A34F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و  37,1% تمتلك الجين </w:t>
      </w:r>
      <w:proofErr w:type="spellStart"/>
      <w:r w:rsidRPr="001A34F4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bla</w:t>
      </w:r>
      <w:r w:rsidRPr="001A34F4">
        <w:rPr>
          <w:rFonts w:asciiTheme="majorBidi" w:hAnsiTheme="majorBidi" w:cstheme="majorBidi"/>
          <w:i/>
          <w:iCs/>
          <w:sz w:val="28"/>
          <w:szCs w:val="28"/>
        </w:rPr>
        <w:t>CARB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المسؤول عن المقاومة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للكاربنسيلين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. ومن بين 35 عزلة للعنقوديات الذهبية هناك 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 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91,4% تمتلك الجين </w:t>
      </w:r>
      <w:proofErr w:type="spellStart"/>
      <w:r w:rsidRPr="001A34F4">
        <w:rPr>
          <w:rFonts w:asciiTheme="majorBidi" w:hAnsiTheme="majorBidi" w:cstheme="majorBidi"/>
          <w:i/>
          <w:iCs/>
          <w:sz w:val="28"/>
          <w:szCs w:val="28"/>
        </w:rPr>
        <w:t>mecA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المسؤول عن المقاومة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للمثيسلين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؛  37,1% تمتلك الجين </w:t>
      </w:r>
      <w:proofErr w:type="spellStart"/>
      <w:r w:rsidRPr="001A34F4">
        <w:rPr>
          <w:rFonts w:asciiTheme="majorBidi" w:hAnsiTheme="majorBidi" w:cstheme="majorBidi"/>
          <w:i/>
          <w:iCs/>
          <w:sz w:val="28"/>
          <w:szCs w:val="28"/>
        </w:rPr>
        <w:t>nuc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؛</w:t>
      </w: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وأخيرا  2,9% تمتلك الجين </w:t>
      </w:r>
      <w:proofErr w:type="spellStart"/>
      <w:r w:rsidRPr="001A34F4">
        <w:rPr>
          <w:rFonts w:asciiTheme="majorBidi" w:hAnsiTheme="majorBidi" w:cstheme="majorBidi"/>
          <w:i/>
          <w:iCs/>
          <w:sz w:val="28"/>
          <w:szCs w:val="28"/>
        </w:rPr>
        <w:t>van</w:t>
      </w:r>
      <w:r w:rsidRPr="001A34F4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المسؤول عن المقاومة </w:t>
      </w:r>
      <w:proofErr w:type="spellStart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للفانكومايسين</w:t>
      </w:r>
      <w:proofErr w:type="spellEnd"/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>.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A34F4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</w:p>
    <w:p w:rsidR="00931D4D" w:rsidRPr="001A34F4" w:rsidRDefault="00931D4D" w:rsidP="00931D4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31D4D" w:rsidRPr="001A34F4" w:rsidRDefault="00931D4D" w:rsidP="00931D4D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31D4D" w:rsidRPr="005370D3" w:rsidRDefault="00931D4D" w:rsidP="00931D4D">
      <w:pPr>
        <w:rPr>
          <w:b/>
          <w:bCs/>
          <w:sz w:val="36"/>
          <w:szCs w:val="36"/>
        </w:rPr>
      </w:pPr>
    </w:p>
    <w:sectPr w:rsidR="00931D4D" w:rsidRPr="005370D3" w:rsidSect="00176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AC" w:rsidRDefault="007F55AC" w:rsidP="00931D4D">
      <w:r>
        <w:separator/>
      </w:r>
    </w:p>
  </w:endnote>
  <w:endnote w:type="continuationSeparator" w:id="0">
    <w:p w:rsidR="007F55AC" w:rsidRDefault="007F55AC" w:rsidP="0093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eesiaUPC">
    <w:charset w:val="DE"/>
    <w:family w:val="swiss"/>
    <w:pitch w:val="variable"/>
    <w:sig w:usb0="01000001" w:usb1="00000000" w:usb2="00000000" w:usb3="00000000" w:csb0="0001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4D" w:rsidRDefault="00931D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63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31D4D" w:rsidRDefault="00931D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1D4D">
          <w:rPr>
            <w:noProof/>
            <w:lang w:val="ar-SA"/>
          </w:rPr>
          <w:t>7</w:t>
        </w:r>
        <w:r>
          <w:fldChar w:fldCharType="end"/>
        </w:r>
      </w:p>
    </w:sdtContent>
  </w:sdt>
  <w:p w:rsidR="00931D4D" w:rsidRDefault="00931D4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4D" w:rsidRDefault="00931D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AC" w:rsidRDefault="007F55AC" w:rsidP="00931D4D">
      <w:r>
        <w:separator/>
      </w:r>
    </w:p>
  </w:footnote>
  <w:footnote w:type="continuationSeparator" w:id="0">
    <w:p w:rsidR="007F55AC" w:rsidRDefault="007F55AC" w:rsidP="0093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4D" w:rsidRDefault="00931D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4D" w:rsidRDefault="00931D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4D" w:rsidRDefault="00931D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8B8"/>
    <w:rsid w:val="00027DD0"/>
    <w:rsid w:val="00032790"/>
    <w:rsid w:val="000A67A7"/>
    <w:rsid w:val="00115E22"/>
    <w:rsid w:val="00122398"/>
    <w:rsid w:val="00132683"/>
    <w:rsid w:val="00160189"/>
    <w:rsid w:val="001768B8"/>
    <w:rsid w:val="0018592D"/>
    <w:rsid w:val="00186A73"/>
    <w:rsid w:val="00207EE1"/>
    <w:rsid w:val="002515CC"/>
    <w:rsid w:val="00300419"/>
    <w:rsid w:val="00454681"/>
    <w:rsid w:val="00460C47"/>
    <w:rsid w:val="004C45EE"/>
    <w:rsid w:val="00534BE2"/>
    <w:rsid w:val="005370D3"/>
    <w:rsid w:val="006B3E82"/>
    <w:rsid w:val="007F55AC"/>
    <w:rsid w:val="00892326"/>
    <w:rsid w:val="008A4C88"/>
    <w:rsid w:val="008F5741"/>
    <w:rsid w:val="00920030"/>
    <w:rsid w:val="009225E2"/>
    <w:rsid w:val="00931D4D"/>
    <w:rsid w:val="00963C96"/>
    <w:rsid w:val="009D7194"/>
    <w:rsid w:val="00A6281F"/>
    <w:rsid w:val="00A76175"/>
    <w:rsid w:val="00A775DE"/>
    <w:rsid w:val="00BC5DE4"/>
    <w:rsid w:val="00C244E3"/>
    <w:rsid w:val="00C748CD"/>
    <w:rsid w:val="00C870AF"/>
    <w:rsid w:val="00D16AC3"/>
    <w:rsid w:val="00D34268"/>
    <w:rsid w:val="00D66086"/>
    <w:rsid w:val="00DA2E01"/>
    <w:rsid w:val="00EB6E3D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D4D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931D4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31D4D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931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Maher</cp:lastModifiedBy>
  <cp:revision>6</cp:revision>
  <dcterms:created xsi:type="dcterms:W3CDTF">2014-11-22T15:21:00Z</dcterms:created>
  <dcterms:modified xsi:type="dcterms:W3CDTF">2021-05-15T18:26:00Z</dcterms:modified>
</cp:coreProperties>
</file>