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34CA" w14:textId="6511B0C5" w:rsidR="004C5FE0" w:rsidRPr="00CE2B89" w:rsidRDefault="004C5FE0" w:rsidP="00CE2B89">
      <w:pPr>
        <w:jc w:val="center"/>
        <w:rPr>
          <w:rFonts w:ascii="Times New Roman" w:hAnsi="Times New Roman" w:cs="Arial" w:hint="cs"/>
          <w:b/>
          <w:bCs/>
          <w:color w:val="0E2841" w:themeColor="text2"/>
          <w:sz w:val="40"/>
          <w:szCs w:val="40"/>
          <w:rtl/>
        </w:rPr>
      </w:pPr>
      <w:r w:rsidRPr="00CE2B89">
        <w:rPr>
          <w:rFonts w:ascii="Times New Roman" w:hAnsi="Times New Roman" w:cs="Arial" w:hint="cs"/>
          <w:b/>
          <w:bCs/>
          <w:color w:val="0E2841" w:themeColor="text2"/>
          <w:sz w:val="40"/>
          <w:szCs w:val="40"/>
          <w:rtl/>
        </w:rPr>
        <w:t>المحافظة على المياه والتربة والغابات والشواطئ في المغرب: تحديات وحلول</w:t>
      </w:r>
    </w:p>
    <w:p w14:paraId="56ED2191" w14:textId="0C0F09CC" w:rsidR="004C5FE0" w:rsidRDefault="00CE2B89" w:rsidP="00A55DA1">
      <w:pPr>
        <w:jc w:val="right"/>
        <w:rPr>
          <w:rFonts w:hint="cs"/>
          <w:b/>
          <w:bCs/>
        </w:rPr>
      </w:pPr>
      <w:r>
        <w:rPr>
          <w:rFonts w:hint="cs"/>
          <w:b/>
          <w:bCs/>
          <w:rtl/>
        </w:rPr>
        <w:t xml:space="preserve">بدر شاشا باحث </w:t>
      </w:r>
    </w:p>
    <w:p w14:paraId="0B39AF5A" w14:textId="41BD32FE" w:rsidR="004C5FE0" w:rsidRDefault="004C5FE0" w:rsidP="00CE2B89">
      <w:pPr>
        <w:jc w:val="right"/>
        <w:rPr>
          <w:rFonts w:hint="cs"/>
          <w:b/>
          <w:bCs/>
        </w:rPr>
      </w:pPr>
      <w:r>
        <w:rPr>
          <w:rFonts w:hint="cs"/>
          <w:b/>
          <w:bCs/>
          <w:rtl/>
        </w:rPr>
        <w:t xml:space="preserve">يواجه المغرب، كغيره من الدول، تحديات بيئية متزايدة تتعلق بالمحافظة على الموارد الطبيعية الحيوية، مثل المياه والتربة والغابات والشواطئ. في هذا السياق، يتطلب الحفاظ على هذه الموارد التبني وتنفيذ حلول فعالة ومستدامة. </w:t>
      </w:r>
    </w:p>
    <w:p w14:paraId="4C3497AD" w14:textId="5677C396" w:rsidR="004C5FE0" w:rsidRDefault="004C5FE0" w:rsidP="00CE2B89">
      <w:pPr>
        <w:jc w:val="right"/>
        <w:rPr>
          <w:rFonts w:hint="cs"/>
          <w:b/>
          <w:bCs/>
        </w:rPr>
      </w:pPr>
      <w:r>
        <w:rPr>
          <w:rFonts w:hint="cs"/>
          <w:b/>
          <w:bCs/>
          <w:rtl/>
        </w:rPr>
        <w:t>إدارة المياه:</w:t>
      </w:r>
    </w:p>
    <w:p w14:paraId="0C07A75F" w14:textId="71F36D62" w:rsidR="004C5FE0" w:rsidRDefault="004C5FE0" w:rsidP="00CE2B89">
      <w:pPr>
        <w:jc w:val="right"/>
        <w:rPr>
          <w:rFonts w:hint="cs"/>
          <w:b/>
          <w:bCs/>
        </w:rPr>
      </w:pPr>
      <w:r>
        <w:rPr>
          <w:rFonts w:hint="cs"/>
          <w:b/>
          <w:bCs/>
          <w:rtl/>
        </w:rPr>
        <w:t>من أبرز الحلول التي يمكن اتخاذها للتصدي لتحديات المياه هي تحسين إدارة الموارد المائية. يجب تعزيز استخدام تكنولوجيا الري الحديثة والفعّالة، وتشجيع المزارعين على اعتماد ممارسات الاقتصاد في استخدام المياه الزراعية. بالإضافة إلى ذلك، يمكن تحسين بنية الري الحضري واستكشاف مشاريع تحلية المياه لتلبية احتياجات السكان.</w:t>
      </w:r>
    </w:p>
    <w:p w14:paraId="249A6F65" w14:textId="0C39880F" w:rsidR="004C5FE0" w:rsidRDefault="004C5FE0" w:rsidP="00CE2B89">
      <w:pPr>
        <w:jc w:val="right"/>
        <w:rPr>
          <w:rFonts w:hint="cs"/>
          <w:b/>
          <w:bCs/>
        </w:rPr>
      </w:pPr>
      <w:r>
        <w:rPr>
          <w:rFonts w:hint="cs"/>
          <w:b/>
          <w:bCs/>
          <w:rtl/>
        </w:rPr>
        <w:t>زيادة الوعي البيئي:</w:t>
      </w:r>
    </w:p>
    <w:p w14:paraId="2AFC87B4" w14:textId="3E3E353A" w:rsidR="004C5FE0" w:rsidRDefault="004C5FE0" w:rsidP="00CE2B89">
      <w:pPr>
        <w:jc w:val="right"/>
        <w:rPr>
          <w:rFonts w:hint="cs"/>
          <w:b/>
          <w:bCs/>
        </w:rPr>
      </w:pPr>
      <w:r>
        <w:rPr>
          <w:rFonts w:hint="cs"/>
          <w:b/>
          <w:bCs/>
          <w:rtl/>
        </w:rPr>
        <w:t>تلعب الوعي البيئي دورًا حاسمًا في تحقيق المحافظة على الموارد الطبيعية. يمكن تنظيم حملات توعية للمواطنين بشكل دوري لنشر الوعي بأهمية حفظ المياه والتربة. كما يمكن إقامة فعاليات تثقيفية تشمل ورش العمل والندوات لتعزيز الفهم الشامل لمسؤولية الجميع تجاه البيئة.</w:t>
      </w:r>
    </w:p>
    <w:p w14:paraId="4A579489" w14:textId="21F7B724" w:rsidR="004C5FE0" w:rsidRDefault="004C5FE0" w:rsidP="00CE2B89">
      <w:pPr>
        <w:jc w:val="right"/>
        <w:rPr>
          <w:rFonts w:hint="cs"/>
          <w:b/>
          <w:bCs/>
        </w:rPr>
      </w:pPr>
      <w:r>
        <w:rPr>
          <w:rFonts w:hint="cs"/>
          <w:b/>
          <w:bCs/>
          <w:rtl/>
        </w:rPr>
        <w:t>تنمية الطاقة المستدامة:</w:t>
      </w:r>
    </w:p>
    <w:p w14:paraId="6091823C" w14:textId="7125296E" w:rsidR="004C5FE0" w:rsidRDefault="004C5FE0" w:rsidP="004C5FE0">
      <w:pPr>
        <w:jc w:val="right"/>
        <w:rPr>
          <w:rFonts w:hint="cs"/>
          <w:b/>
          <w:bCs/>
        </w:rPr>
      </w:pPr>
      <w:r>
        <w:rPr>
          <w:rFonts w:hint="cs"/>
          <w:b/>
          <w:bCs/>
          <w:rtl/>
        </w:rPr>
        <w:t>تحقيق التوازن بين احتياجات الطاقة والحفاظ على البيئة يتطلب دعم مشاريع الطاقة المتجددة. يمكن تعزيز استخدام مصادر الطاقة المتجددة مثل الطاقة الشمسية والرياح للحد من التأثير البيئي الناتج عن الاعتماد على الطاقة التقليدية.</w:t>
      </w:r>
    </w:p>
    <w:p w14:paraId="70060B8D" w14:textId="219F472D" w:rsidR="004C5FE0" w:rsidRDefault="004C5FE0" w:rsidP="004C5FE0">
      <w:pPr>
        <w:jc w:val="right"/>
        <w:rPr>
          <w:rFonts w:hint="cs"/>
          <w:b/>
          <w:bCs/>
        </w:rPr>
      </w:pPr>
      <w:r>
        <w:rPr>
          <w:rFonts w:hint="cs"/>
          <w:b/>
          <w:bCs/>
          <w:rtl/>
        </w:rPr>
        <w:t>تنظيم الزراعة الغير مستدامة:</w:t>
      </w:r>
    </w:p>
    <w:p w14:paraId="280A3E8D" w14:textId="55104515" w:rsidR="004C5FE0" w:rsidRDefault="004C5FE0" w:rsidP="004C5FE0">
      <w:pPr>
        <w:jc w:val="right"/>
        <w:rPr>
          <w:rFonts w:hint="cs"/>
          <w:b/>
          <w:bCs/>
        </w:rPr>
      </w:pPr>
      <w:r>
        <w:rPr>
          <w:rFonts w:hint="cs"/>
          <w:b/>
          <w:bCs/>
          <w:rtl/>
        </w:rPr>
        <w:t>تعتبر الزراعة من المجالات الحيوية التي يجب تنظيمها بشكل فعّال للمساهمة في المحافظة على التربة والمياه. يُشجع على ممارسة أساليب زراعية مستدامة، وتحديد السلوكيات البيئية الإيجابية للحد من الآثار الضارة على البيئة.</w:t>
      </w:r>
    </w:p>
    <w:p w14:paraId="2C0E7BE5" w14:textId="2E5BA3F5" w:rsidR="004C5FE0" w:rsidRDefault="004C5FE0" w:rsidP="00A55DA1">
      <w:pPr>
        <w:jc w:val="right"/>
        <w:rPr>
          <w:b/>
          <w:bCs/>
          <w:rtl/>
        </w:rPr>
      </w:pPr>
      <w:r>
        <w:rPr>
          <w:rFonts w:hint="cs"/>
          <w:b/>
          <w:bCs/>
          <w:rtl/>
        </w:rPr>
        <w:t>يتطلب الحفاظ على الموارد الطبيعية في المغرب تبني استراتيجيات متكاملة وتفعيل دور الفرد والمجتمع في سبيل تحقيق التنمية المستدامة وضمان استدامة هذه الثروات البيئية للأجيال القادمة.</w:t>
      </w:r>
    </w:p>
    <w:p w14:paraId="28CFA795" w14:textId="25543BF8" w:rsidR="00726DA8" w:rsidRDefault="00726DA8" w:rsidP="00726DA8">
      <w:pPr>
        <w:jc w:val="right"/>
        <w:rPr>
          <w:rFonts w:hint="cs"/>
          <w:b/>
          <w:bCs/>
        </w:rPr>
      </w:pPr>
      <w:r>
        <w:rPr>
          <w:rFonts w:hint="cs"/>
          <w:b/>
          <w:bCs/>
          <w:rtl/>
        </w:rPr>
        <w:t>تحسين إدارة الغابات:</w:t>
      </w:r>
    </w:p>
    <w:p w14:paraId="223E90CB" w14:textId="7ADF6E0B" w:rsidR="00726DA8" w:rsidRDefault="00726DA8" w:rsidP="00726DA8">
      <w:pPr>
        <w:jc w:val="right"/>
        <w:rPr>
          <w:rFonts w:hint="cs"/>
          <w:b/>
          <w:bCs/>
        </w:rPr>
      </w:pPr>
      <w:r>
        <w:rPr>
          <w:rFonts w:hint="cs"/>
          <w:b/>
          <w:bCs/>
          <w:rtl/>
        </w:rPr>
        <w:t>المحافظة على التنوع البيولوجي وتحسين إدارة الغابات تعد جزءًا أساسياً من استراتيجيات الحفاظ على البيئة. يمكن تنفيذ سياسات تشجيعية للحد من التصدي للتصحر والتسليح، وتشجيع على زراعة الأشجار المحلية والمتكيفة مع البيئة.</w:t>
      </w:r>
    </w:p>
    <w:p w14:paraId="66C26D1B" w14:textId="05A2D540" w:rsidR="00726DA8" w:rsidRDefault="00726DA8" w:rsidP="00726DA8">
      <w:pPr>
        <w:jc w:val="right"/>
        <w:rPr>
          <w:rFonts w:hint="cs"/>
          <w:b/>
          <w:bCs/>
        </w:rPr>
      </w:pPr>
      <w:r>
        <w:rPr>
          <w:rFonts w:hint="cs"/>
          <w:b/>
          <w:bCs/>
          <w:rtl/>
        </w:rPr>
        <w:t>حماية الشواطئ والمحافظة على التربة الساحلية:</w:t>
      </w:r>
    </w:p>
    <w:p w14:paraId="0166F573" w14:textId="17218D30" w:rsidR="00726DA8" w:rsidRDefault="00726DA8" w:rsidP="00726DA8">
      <w:pPr>
        <w:jc w:val="right"/>
        <w:rPr>
          <w:rFonts w:hint="cs"/>
          <w:b/>
          <w:bCs/>
        </w:rPr>
      </w:pPr>
      <w:r>
        <w:rPr>
          <w:rFonts w:hint="cs"/>
          <w:b/>
          <w:bCs/>
          <w:rtl/>
        </w:rPr>
        <w:t>تعتبر المناطق الساحلية حساسة وتتطلب اهتماماً خاصاً للحفاظ على التربة والشواطئ. يمكن تنفيذ مشاريع لحماية السواحل، مثل إعادة تأهيل الشواطئ وتنظيم البنية التحتية للمناطق الساحلية لتقليل تأثير التدهور البيئي.</w:t>
      </w:r>
    </w:p>
    <w:p w14:paraId="4FEB0AFB" w14:textId="4A5CABAC" w:rsidR="00726DA8" w:rsidRDefault="00726DA8" w:rsidP="00726DA8">
      <w:pPr>
        <w:jc w:val="right"/>
        <w:rPr>
          <w:rFonts w:hint="cs"/>
          <w:b/>
          <w:bCs/>
        </w:rPr>
      </w:pPr>
      <w:r>
        <w:rPr>
          <w:rFonts w:hint="cs"/>
          <w:b/>
          <w:bCs/>
          <w:rtl/>
        </w:rPr>
        <w:t>التعاون الدولي والشراكات المحلية:</w:t>
      </w:r>
    </w:p>
    <w:p w14:paraId="3866B0EB" w14:textId="3AD7E250" w:rsidR="00726DA8" w:rsidRDefault="00726DA8" w:rsidP="00726DA8">
      <w:pPr>
        <w:jc w:val="right"/>
        <w:rPr>
          <w:rFonts w:hint="cs"/>
          <w:b/>
          <w:bCs/>
        </w:rPr>
      </w:pPr>
      <w:r>
        <w:rPr>
          <w:rFonts w:hint="cs"/>
          <w:b/>
          <w:bCs/>
          <w:rtl/>
        </w:rPr>
        <w:t>تحقيق المحافظة على الموارد الطبيعية يتطلب التعاون الدولي وتكامل الجهود. يمكن تعزيز الشراكات المحلية والدولية لتبادل الخبرات وتطوير مشاريع مشتركة تهدف إلى تعزيز الاستدامة في جميع القطاعات.</w:t>
      </w:r>
    </w:p>
    <w:p w14:paraId="05651485" w14:textId="57C37BC4" w:rsidR="00726DA8" w:rsidRDefault="00726DA8" w:rsidP="00726DA8">
      <w:pPr>
        <w:jc w:val="right"/>
        <w:rPr>
          <w:rFonts w:hint="cs"/>
          <w:b/>
          <w:bCs/>
        </w:rPr>
      </w:pPr>
      <w:r>
        <w:rPr>
          <w:rFonts w:hint="cs"/>
          <w:b/>
          <w:bCs/>
          <w:rtl/>
        </w:rPr>
        <w:t>تشجيع التنمية الاقتصادية المستدامة:</w:t>
      </w:r>
    </w:p>
    <w:p w14:paraId="14ECFB5A" w14:textId="3789A34C" w:rsidR="00726DA8" w:rsidRDefault="00726DA8" w:rsidP="00726DA8">
      <w:pPr>
        <w:jc w:val="right"/>
        <w:rPr>
          <w:rFonts w:hint="cs"/>
          <w:b/>
          <w:bCs/>
        </w:rPr>
      </w:pPr>
      <w:r>
        <w:rPr>
          <w:rFonts w:hint="cs"/>
          <w:b/>
          <w:bCs/>
          <w:rtl/>
        </w:rPr>
        <w:t>يمكن تحقيق المحافظة على الموارد من خلال تشجيع التنمية الاقتصادية المستدامة. يمكن تنمية القطاعات الخضراء ودعم المشاريع التي تعتمد على الموارد البيئية بشكل فعّال، مما يعزز التنمية الاقتصادية والحفاظ على البيئة في آن واحد.</w:t>
      </w:r>
    </w:p>
    <w:p w14:paraId="62737B31" w14:textId="364A70A1" w:rsidR="00726DA8" w:rsidRPr="00A55DA1" w:rsidRDefault="00726DA8" w:rsidP="00A55DA1">
      <w:pPr>
        <w:jc w:val="right"/>
        <w:rPr>
          <w:rFonts w:hint="cs"/>
          <w:b/>
          <w:bCs/>
        </w:rPr>
      </w:pPr>
      <w:r>
        <w:rPr>
          <w:rFonts w:hint="cs"/>
          <w:b/>
          <w:bCs/>
          <w:rtl/>
        </w:rPr>
        <w:t xml:space="preserve"> يجب أن يكون الالتزام بالمحافظة على المياه والتربة والغابات والشواطئ في المغرب جزءًا لا يتجزأ من الرؤية الوطنية للتنمية المستدامة. بتنفيذ هذه الحلول وتعزيز الوعي البيئي، يمكن تحقيق توازن يضمن استمرارية الطبيعة وتحسين جودة الحياة للأجيال الحالية والمستقبلية.</w:t>
      </w:r>
    </w:p>
    <w:p w14:paraId="226EAC42" w14:textId="77777777" w:rsidR="00F2720E" w:rsidRPr="00A55DA1" w:rsidRDefault="00F2720E" w:rsidP="00A55DA1">
      <w:pPr>
        <w:jc w:val="right"/>
        <w:rPr>
          <w:b/>
          <w:bCs/>
        </w:rPr>
      </w:pPr>
    </w:p>
    <w:sectPr w:rsidR="00F2720E" w:rsidRPr="00A55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ptos Display">
    <w:panose1 w:val="020B0004020202020204"/>
    <w:charset w:val="00"/>
    <w:family w:val="swiss"/>
    <w:notTrueType/>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5805"/>
    <w:multiLevelType w:val="hybridMultilevel"/>
    <w:tmpl w:val="0084037A"/>
    <w:lvl w:ilvl="0" w:tplc="FFFFFFFF">
      <w:start w:val="1"/>
      <w:numFmt w:val="decimal"/>
      <w:lvlText w:val="%1."/>
      <w:lvlJc w:val="left"/>
      <w:pPr>
        <w:ind w:left="2016" w:hanging="1656"/>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CA44EA"/>
    <w:multiLevelType w:val="hybridMultilevel"/>
    <w:tmpl w:val="F2EAB648"/>
    <w:lvl w:ilvl="0" w:tplc="FFFFFFFF">
      <w:start w:val="1"/>
      <w:numFmt w:val="decimal"/>
      <w:lvlText w:val="%1."/>
      <w:lvlJc w:val="left"/>
      <w:pPr>
        <w:ind w:left="1982" w:hanging="1622"/>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915CC8"/>
    <w:multiLevelType w:val="hybridMultilevel"/>
    <w:tmpl w:val="393AC8CC"/>
    <w:lvl w:ilvl="0" w:tplc="FFFFFFFF">
      <w:start w:val="1"/>
      <w:numFmt w:val="decimal"/>
      <w:lvlText w:val="%1."/>
      <w:lvlJc w:val="left"/>
      <w:pPr>
        <w:ind w:left="2160" w:hanging="180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D233EA"/>
    <w:multiLevelType w:val="hybridMultilevel"/>
    <w:tmpl w:val="53CACC4A"/>
    <w:lvl w:ilvl="0" w:tplc="FFFFFFFF">
      <w:start w:val="1"/>
      <w:numFmt w:val="decimal"/>
      <w:lvlText w:val="%1."/>
      <w:lvlJc w:val="left"/>
      <w:pPr>
        <w:ind w:left="1790" w:hanging="143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2D6959"/>
    <w:multiLevelType w:val="hybridMultilevel"/>
    <w:tmpl w:val="30F0D734"/>
    <w:lvl w:ilvl="0" w:tplc="FFFFFFFF">
      <w:start w:val="1"/>
      <w:numFmt w:val="decimal"/>
      <w:lvlText w:val="%1."/>
      <w:lvlJc w:val="left"/>
      <w:pPr>
        <w:ind w:left="1018" w:hanging="658"/>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9F266F"/>
    <w:multiLevelType w:val="hybridMultilevel"/>
    <w:tmpl w:val="A614E63C"/>
    <w:lvl w:ilvl="0" w:tplc="FFFFFFFF">
      <w:start w:val="1"/>
      <w:numFmt w:val="decimal"/>
      <w:lvlText w:val="%1."/>
      <w:lvlJc w:val="left"/>
      <w:pPr>
        <w:ind w:left="1920" w:hanging="15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CE6F8B"/>
    <w:multiLevelType w:val="hybridMultilevel"/>
    <w:tmpl w:val="19E4AB76"/>
    <w:lvl w:ilvl="0" w:tplc="FFFFFFFF">
      <w:start w:val="1"/>
      <w:numFmt w:val="decimal"/>
      <w:lvlText w:val="%1."/>
      <w:lvlJc w:val="left"/>
      <w:pPr>
        <w:ind w:left="1949" w:hanging="1589"/>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B9145E"/>
    <w:multiLevelType w:val="hybridMultilevel"/>
    <w:tmpl w:val="826036AA"/>
    <w:lvl w:ilvl="0" w:tplc="FFFFFFFF">
      <w:start w:val="1"/>
      <w:numFmt w:val="decimal"/>
      <w:lvlText w:val="%1."/>
      <w:lvlJc w:val="left"/>
      <w:pPr>
        <w:ind w:left="2722" w:hanging="2362"/>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7A67BA"/>
    <w:multiLevelType w:val="hybridMultilevel"/>
    <w:tmpl w:val="C4C8A9E6"/>
    <w:lvl w:ilvl="0" w:tplc="FFFFFFFF">
      <w:start w:val="1"/>
      <w:numFmt w:val="decimal"/>
      <w:lvlText w:val="%1."/>
      <w:lvlJc w:val="left"/>
      <w:pPr>
        <w:ind w:left="1718" w:hanging="1358"/>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5BA257F"/>
    <w:multiLevelType w:val="hybridMultilevel"/>
    <w:tmpl w:val="49F2509E"/>
    <w:lvl w:ilvl="0" w:tplc="FFFFFFFF">
      <w:start w:val="1"/>
      <w:numFmt w:val="decimal"/>
      <w:lvlText w:val="%1."/>
      <w:lvlJc w:val="left"/>
      <w:pPr>
        <w:ind w:left="2434" w:hanging="2074"/>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31543528">
    <w:abstractNumId w:val="1"/>
  </w:num>
  <w:num w:numId="2" w16cid:durableId="1253468528">
    <w:abstractNumId w:val="3"/>
  </w:num>
  <w:num w:numId="3" w16cid:durableId="1519392576">
    <w:abstractNumId w:val="4"/>
  </w:num>
  <w:num w:numId="4" w16cid:durableId="315955820">
    <w:abstractNumId w:val="8"/>
  </w:num>
  <w:num w:numId="5" w16cid:durableId="2084259787">
    <w:abstractNumId w:val="6"/>
  </w:num>
  <w:num w:numId="6" w16cid:durableId="857233257">
    <w:abstractNumId w:val="2"/>
  </w:num>
  <w:num w:numId="7" w16cid:durableId="467938195">
    <w:abstractNumId w:val="5"/>
  </w:num>
  <w:num w:numId="8" w16cid:durableId="42483338">
    <w:abstractNumId w:val="0"/>
  </w:num>
  <w:num w:numId="9" w16cid:durableId="543718036">
    <w:abstractNumId w:val="7"/>
  </w:num>
  <w:num w:numId="10" w16cid:durableId="9559830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7"/>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0F"/>
    <w:rsid w:val="0000237B"/>
    <w:rsid w:val="000A0FF1"/>
    <w:rsid w:val="001066E8"/>
    <w:rsid w:val="001614CF"/>
    <w:rsid w:val="001964C8"/>
    <w:rsid w:val="001C730C"/>
    <w:rsid w:val="003A54CD"/>
    <w:rsid w:val="00444AC4"/>
    <w:rsid w:val="00484C9C"/>
    <w:rsid w:val="004A4B1F"/>
    <w:rsid w:val="004C5FE0"/>
    <w:rsid w:val="004E720F"/>
    <w:rsid w:val="00527373"/>
    <w:rsid w:val="006D17C3"/>
    <w:rsid w:val="00712119"/>
    <w:rsid w:val="00726DA8"/>
    <w:rsid w:val="007D0C7C"/>
    <w:rsid w:val="008F4C03"/>
    <w:rsid w:val="00984026"/>
    <w:rsid w:val="00985AA7"/>
    <w:rsid w:val="00A55DA1"/>
    <w:rsid w:val="00A9052B"/>
    <w:rsid w:val="00AD79B2"/>
    <w:rsid w:val="00BB3A1D"/>
    <w:rsid w:val="00BD5C70"/>
    <w:rsid w:val="00CE2B89"/>
    <w:rsid w:val="00D117BD"/>
    <w:rsid w:val="00E1761C"/>
    <w:rsid w:val="00E92E34"/>
    <w:rsid w:val="00F272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65117B51"/>
  <w15:chartTrackingRefBased/>
  <w15:docId w15:val="{A50EF526-E3A0-4449-A5E7-B832CAA0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E72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E72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E720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E720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E720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E720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E720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E720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E720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720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E720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E720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E720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E720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E720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E720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E720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E720F"/>
    <w:rPr>
      <w:rFonts w:eastAsiaTheme="majorEastAsia" w:cstheme="majorBidi"/>
      <w:color w:val="272727" w:themeColor="text1" w:themeTint="D8"/>
    </w:rPr>
  </w:style>
  <w:style w:type="paragraph" w:styleId="Titre">
    <w:name w:val="Title"/>
    <w:basedOn w:val="Normal"/>
    <w:next w:val="Normal"/>
    <w:link w:val="TitreCar"/>
    <w:uiPriority w:val="10"/>
    <w:qFormat/>
    <w:rsid w:val="004E72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E720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E720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E720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E720F"/>
    <w:pPr>
      <w:spacing w:before="160"/>
      <w:jc w:val="center"/>
    </w:pPr>
    <w:rPr>
      <w:i/>
      <w:iCs/>
      <w:color w:val="404040" w:themeColor="text1" w:themeTint="BF"/>
    </w:rPr>
  </w:style>
  <w:style w:type="character" w:customStyle="1" w:styleId="CitationCar">
    <w:name w:val="Citation Car"/>
    <w:basedOn w:val="Policepardfaut"/>
    <w:link w:val="Citation"/>
    <w:uiPriority w:val="29"/>
    <w:rsid w:val="004E720F"/>
    <w:rPr>
      <w:i/>
      <w:iCs/>
      <w:color w:val="404040" w:themeColor="text1" w:themeTint="BF"/>
    </w:rPr>
  </w:style>
  <w:style w:type="paragraph" w:styleId="Paragraphedeliste">
    <w:name w:val="List Paragraph"/>
    <w:basedOn w:val="Normal"/>
    <w:uiPriority w:val="34"/>
    <w:qFormat/>
    <w:rsid w:val="004E720F"/>
    <w:pPr>
      <w:ind w:left="720"/>
      <w:contextualSpacing/>
    </w:pPr>
  </w:style>
  <w:style w:type="character" w:styleId="Accentuationintense">
    <w:name w:val="Intense Emphasis"/>
    <w:basedOn w:val="Policepardfaut"/>
    <w:uiPriority w:val="21"/>
    <w:qFormat/>
    <w:rsid w:val="004E720F"/>
    <w:rPr>
      <w:i/>
      <w:iCs/>
      <w:color w:val="0F4761" w:themeColor="accent1" w:themeShade="BF"/>
    </w:rPr>
  </w:style>
  <w:style w:type="paragraph" w:styleId="Citationintense">
    <w:name w:val="Intense Quote"/>
    <w:basedOn w:val="Normal"/>
    <w:next w:val="Normal"/>
    <w:link w:val="CitationintenseCar"/>
    <w:uiPriority w:val="30"/>
    <w:qFormat/>
    <w:rsid w:val="004E72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E720F"/>
    <w:rPr>
      <w:i/>
      <w:iCs/>
      <w:color w:val="0F4761" w:themeColor="accent1" w:themeShade="BF"/>
    </w:rPr>
  </w:style>
  <w:style w:type="character" w:styleId="Rfrenceintense">
    <w:name w:val="Intense Reference"/>
    <w:basedOn w:val="Policepardfaut"/>
    <w:uiPriority w:val="32"/>
    <w:qFormat/>
    <w:rsid w:val="004E720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2358</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 Chacha</dc:creator>
  <cp:keywords/>
  <dc:description/>
  <cp:lastModifiedBy>Badr Chacha</cp:lastModifiedBy>
  <cp:revision>2</cp:revision>
  <dcterms:created xsi:type="dcterms:W3CDTF">2024-01-20T22:38:00Z</dcterms:created>
  <dcterms:modified xsi:type="dcterms:W3CDTF">2024-01-20T22:38:00Z</dcterms:modified>
</cp:coreProperties>
</file>