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32" w:rsidRDefault="00B74232" w:rsidP="00B74232">
      <w:pPr>
        <w:spacing w:after="0" w:line="240" w:lineRule="auto"/>
        <w:ind w:right="173" w:firstLine="619"/>
        <w:jc w:val="center"/>
        <w:rPr>
          <w:rFonts w:ascii="Traditional Arabic" w:hAnsi="Traditional Arabic" w:hint="cs"/>
          <w:b/>
          <w:bCs/>
          <w:sz w:val="36"/>
          <w:rtl/>
        </w:rPr>
      </w:pPr>
      <w:r>
        <w:rPr>
          <w:rFonts w:ascii="Traditional Arabic" w:hAnsi="Traditional Arabic" w:hint="cs"/>
          <w:b/>
          <w:bCs/>
          <w:sz w:val="36"/>
          <w:rtl/>
        </w:rPr>
        <w:t xml:space="preserve">آثار الحسبة السياسية تجاه المحكوم: </w:t>
      </w:r>
      <w:r w:rsidRPr="0037534C">
        <w:rPr>
          <w:rFonts w:ascii="Traditional Arabic" w:hAnsi="Traditional Arabic" w:hint="cs"/>
          <w:b/>
          <w:bCs/>
          <w:sz w:val="36"/>
          <w:rtl/>
        </w:rPr>
        <w:t>حفظ حقوق الذميين في بلاد الإسلام</w:t>
      </w:r>
    </w:p>
    <w:p w:rsidR="007F650A" w:rsidRPr="00105ECE" w:rsidRDefault="007F650A" w:rsidP="007F650A">
      <w:pPr>
        <w:bidi w:val="0"/>
        <w:spacing w:after="0" w:line="240" w:lineRule="auto"/>
        <w:ind w:right="173" w:firstLine="619"/>
        <w:jc w:val="center"/>
        <w:rPr>
          <w:rFonts w:ascii="Traditional Arabic" w:eastAsia="Times New Roman" w:hAnsi="Traditional Arabic"/>
          <w:sz w:val="36"/>
          <w:rtl/>
        </w:rPr>
      </w:pPr>
      <w:r w:rsidRPr="00105ECE">
        <w:rPr>
          <w:rFonts w:ascii="Traditional Arabic" w:eastAsia="Times New Roman" w:hAnsi="Traditional Arabic"/>
          <w:b/>
          <w:bCs/>
          <w:sz w:val="36"/>
          <w:rtl/>
        </w:rPr>
        <w:t>تقديم: د. مجدي عبد العظيم إبراهيم</w:t>
      </w:r>
    </w:p>
    <w:p w:rsidR="007F650A" w:rsidRPr="0037534C" w:rsidRDefault="007F650A" w:rsidP="00B74232">
      <w:pPr>
        <w:spacing w:after="0" w:line="240" w:lineRule="auto"/>
        <w:ind w:right="173" w:firstLine="619"/>
        <w:jc w:val="center"/>
        <w:rPr>
          <w:rFonts w:ascii="Traditional Arabic" w:hAnsi="Traditional Arabic"/>
          <w:b/>
          <w:bCs/>
          <w:sz w:val="36"/>
          <w:rtl/>
        </w:rPr>
      </w:pPr>
      <w:bookmarkStart w:id="0" w:name="_GoBack"/>
      <w:bookmarkEnd w:id="0"/>
    </w:p>
    <w:p w:rsidR="00B74232" w:rsidRDefault="00B74232" w:rsidP="00B74232">
      <w:pPr>
        <w:spacing w:after="0" w:line="240" w:lineRule="auto"/>
        <w:ind w:right="173" w:firstLine="619"/>
        <w:jc w:val="lowKashida"/>
        <w:rPr>
          <w:rFonts w:ascii="Traditional Arabic" w:hAnsi="Traditional Arabic"/>
          <w:sz w:val="36"/>
          <w:rtl/>
        </w:rPr>
      </w:pPr>
      <w:r>
        <w:rPr>
          <w:rFonts w:ascii="Traditional Arabic" w:hAnsi="Traditional Arabic" w:hint="cs"/>
          <w:sz w:val="36"/>
          <w:rtl/>
        </w:rPr>
        <w:t xml:space="preserve">قام الدين الإسلامي على أساس واضح فيما يخص التعايش مع الذميين (غير المسلمين) فكانت ركائز هذا التعايش قائمة على الوئام والعدل والتسامح في ظل المجتمع الإسلامي، فلقد ساوى الإسلام بين المسلمين في مبادئ التسامح والمساواة وغيرهم من غير المسلمين من الملل والنحل الأخرى. </w:t>
      </w:r>
    </w:p>
    <w:p w:rsidR="00B74232" w:rsidRPr="00442C2A" w:rsidRDefault="00B74232" w:rsidP="00B74232">
      <w:pPr>
        <w:spacing w:after="0" w:line="240" w:lineRule="auto"/>
        <w:ind w:right="173" w:firstLine="619"/>
        <w:jc w:val="lowKashida"/>
        <w:rPr>
          <w:rFonts w:ascii="QCF_P108" w:hAnsi="QCF_P108"/>
          <w:sz w:val="36"/>
        </w:rPr>
      </w:pPr>
      <w:r>
        <w:rPr>
          <w:rFonts w:ascii="Traditional Arabic" w:hAnsi="Traditional Arabic" w:hint="cs"/>
          <w:sz w:val="36"/>
          <w:rtl/>
        </w:rPr>
        <w:t xml:space="preserve">فقد جاء في كتاب الله ما دل على ذلك، قال تعالى: </w:t>
      </w:r>
      <w:r>
        <w:rPr>
          <w:rFonts w:ascii="QCF_BSML" w:hAnsi="QCF_BSML" w:cs="QCF_BSML"/>
          <w:color w:val="008000"/>
          <w:sz w:val="30"/>
          <w:szCs w:val="30"/>
          <w:rtl/>
        </w:rPr>
        <w:t>(</w:t>
      </w:r>
      <w:r>
        <w:rPr>
          <w:rFonts w:ascii="QCF_P108" w:hAnsi="QCF_P108" w:cs="QCF_P108"/>
          <w:color w:val="008000"/>
          <w:sz w:val="30"/>
          <w:szCs w:val="30"/>
          <w:rtl/>
        </w:rPr>
        <w:t>ﮱ ﯓ ﯔ ﯕ ﯖ ﯗ ﯘ ﯙ ﯚ ﯛ ﯜ ﯝ ﯞ</w:t>
      </w:r>
      <w:r>
        <w:rPr>
          <w:rFonts w:ascii="QCF_BSML" w:hAnsi="QCF_BSML" w:cs="QCF_BSML"/>
          <w:color w:val="008000"/>
          <w:sz w:val="30"/>
          <w:szCs w:val="30"/>
          <w:rtl/>
        </w:rPr>
        <w:t xml:space="preserve">) </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1"/>
      </w:r>
      <w:r w:rsidRPr="00766C6E">
        <w:rPr>
          <w:rFonts w:ascii="Traditional Arabic" w:hAnsi="Traditional Arabic"/>
          <w:sz w:val="36"/>
          <w:vertAlign w:val="superscript"/>
          <w:rtl/>
        </w:rPr>
        <w:t>)</w:t>
      </w:r>
      <w:r>
        <w:rPr>
          <w:rFonts w:ascii="Traditional Arabic" w:hAnsi="Traditional Arabic" w:hint="cs"/>
          <w:sz w:val="36"/>
          <w:rtl/>
        </w:rPr>
        <w:t>. ومما ورد عن رسول الله صلى الله عليه وسلم:</w:t>
      </w:r>
      <w:r w:rsidRPr="00442C2A">
        <w:rPr>
          <w:rFonts w:ascii="Traditional Arabic" w:hAnsi="Traditional Arabic" w:hint="cs"/>
          <w:sz w:val="36"/>
          <w:rtl/>
        </w:rPr>
        <w:t xml:space="preserve"> </w:t>
      </w:r>
      <w:r>
        <w:rPr>
          <w:rFonts w:ascii="Traditional Arabic" w:hAnsi="Traditional Arabic" w:hint="cs"/>
          <w:sz w:val="36"/>
          <w:rtl/>
        </w:rPr>
        <w:t>"</w:t>
      </w:r>
      <w:r w:rsidRPr="00442C2A">
        <w:rPr>
          <w:sz w:val="36"/>
          <w:rtl/>
        </w:rPr>
        <w:t>من آذى ذميًا فقد آذاني ومن آذاني فقد آذى الله</w:t>
      </w:r>
      <w:r>
        <w:rPr>
          <w:rFonts w:hint="cs"/>
          <w:sz w:val="36"/>
          <w:rtl/>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2"/>
      </w:r>
      <w:r w:rsidRPr="00766C6E">
        <w:rPr>
          <w:rFonts w:ascii="Traditional Arabic" w:hAnsi="Traditional Arabic"/>
          <w:sz w:val="36"/>
          <w:vertAlign w:val="superscript"/>
          <w:rtl/>
        </w:rPr>
        <w:t>)</w:t>
      </w:r>
      <w:r>
        <w:rPr>
          <w:rFonts w:hint="cs"/>
          <w:sz w:val="36"/>
          <w:rtl/>
        </w:rPr>
        <w:t>.</w:t>
      </w:r>
    </w:p>
    <w:p w:rsidR="00B74232" w:rsidRDefault="00B74232" w:rsidP="00B74232">
      <w:pPr>
        <w:spacing w:after="0" w:line="240" w:lineRule="auto"/>
        <w:ind w:right="173" w:firstLine="619"/>
        <w:jc w:val="both"/>
        <w:rPr>
          <w:rFonts w:ascii="Arial" w:eastAsia="Times New Roman" w:hAnsi="Arial"/>
          <w:color w:val="494949"/>
          <w:sz w:val="36"/>
          <w:rtl/>
        </w:rPr>
      </w:pPr>
      <w:r>
        <w:rPr>
          <w:rFonts w:ascii="Traditional Arabic" w:hAnsi="Traditional Arabic" w:hint="cs"/>
          <w:b/>
          <w:bCs/>
          <w:sz w:val="36"/>
          <w:rtl/>
        </w:rPr>
        <w:t>تعريف الذمة</w:t>
      </w:r>
      <w:r w:rsidRPr="00252C59">
        <w:rPr>
          <w:rFonts w:ascii="Traditional Arabic" w:hAnsi="Traditional Arabic" w:hint="cs"/>
          <w:b/>
          <w:bCs/>
          <w:sz w:val="36"/>
          <w:rtl/>
        </w:rPr>
        <w:t>:</w:t>
      </w:r>
      <w:r w:rsidRPr="00252C59">
        <w:rPr>
          <w:rFonts w:ascii="Arial" w:eastAsia="Times New Roman" w:hAnsi="Arial" w:hint="cs"/>
          <w:color w:val="494949"/>
          <w:sz w:val="28"/>
          <w:szCs w:val="28"/>
          <w:rtl/>
        </w:rPr>
        <w:t xml:space="preserve"> </w:t>
      </w:r>
      <w:r w:rsidRPr="00252C59">
        <w:rPr>
          <w:rFonts w:ascii="Arial" w:eastAsia="Times New Roman" w:hAnsi="Arial" w:hint="cs"/>
          <w:color w:val="494949"/>
          <w:sz w:val="36"/>
          <w:rtl/>
        </w:rPr>
        <w:t>الذمة</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في</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اللغة</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الأمان</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والعهد،</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وأهل</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الذمة</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هم</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المعاهدون</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من</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اليهود</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والنصارى</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وغيرهم</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ممن</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يقيم</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في</w:t>
      </w:r>
      <w:r w:rsidRPr="00252C59">
        <w:rPr>
          <w:rFonts w:ascii="Arial" w:eastAsia="Times New Roman" w:hAnsi="Arial"/>
          <w:color w:val="494949"/>
          <w:sz w:val="36"/>
          <w:rtl/>
        </w:rPr>
        <w:t xml:space="preserve"> </w:t>
      </w:r>
      <w:r w:rsidRPr="00252C59">
        <w:rPr>
          <w:rFonts w:ascii="Arial" w:eastAsia="Times New Roman" w:hAnsi="Arial" w:hint="cs"/>
          <w:color w:val="494949"/>
          <w:sz w:val="36"/>
          <w:rtl/>
        </w:rPr>
        <w:t>دار</w:t>
      </w:r>
      <w:r>
        <w:rPr>
          <w:rFonts w:ascii="Arial" w:eastAsia="Times New Roman" w:hAnsi="Arial" w:hint="cs"/>
          <w:color w:val="494949"/>
          <w:sz w:val="36"/>
          <w:rtl/>
        </w:rPr>
        <w:t xml:space="preserve"> الإسلام</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3"/>
      </w:r>
      <w:r w:rsidRPr="00766C6E">
        <w:rPr>
          <w:rFonts w:ascii="Traditional Arabic" w:hAnsi="Traditional Arabic"/>
          <w:sz w:val="36"/>
          <w:vertAlign w:val="superscript"/>
          <w:rtl/>
        </w:rPr>
        <w:t>)</w:t>
      </w:r>
      <w:r>
        <w:rPr>
          <w:rFonts w:ascii="Arial" w:eastAsia="Times New Roman" w:hAnsi="Arial" w:hint="cs"/>
          <w:color w:val="494949"/>
          <w:sz w:val="36"/>
          <w:rtl/>
        </w:rPr>
        <w:t>.</w:t>
      </w:r>
    </w:p>
    <w:p w:rsidR="00B74232" w:rsidRDefault="00B74232" w:rsidP="00B74232">
      <w:pPr>
        <w:spacing w:after="0" w:line="240" w:lineRule="auto"/>
        <w:ind w:right="173" w:firstLine="619"/>
        <w:jc w:val="both"/>
        <w:rPr>
          <w:rFonts w:ascii="Arial" w:eastAsia="Times New Roman" w:hAnsi="Arial"/>
          <w:color w:val="494949"/>
          <w:sz w:val="36"/>
          <w:rtl/>
        </w:rPr>
      </w:pPr>
      <w:r>
        <w:rPr>
          <w:rFonts w:ascii="Arial" w:eastAsia="Times New Roman" w:hAnsi="Arial" w:hint="cs"/>
          <w:color w:val="494949"/>
          <w:sz w:val="36"/>
          <w:rtl/>
        </w:rPr>
        <w:t>ولقد أوضح الإسلام حق رعايتهم وحمايتهم، فكان هناك ما يسمى بعقد الذمة وهو عقد بمقتضاه يصير غير المسلم في ذمة المسلمين أي في عهدهم وأمانهم، وله بذلك حق العيش والإقامة في بلاد الإسلام على وجه الدوام مقابل ضريبة تؤدى للدولة تعرف باسم الجزية.</w:t>
      </w:r>
    </w:p>
    <w:p w:rsidR="00B74232" w:rsidRDefault="00B74232" w:rsidP="00B74232">
      <w:pPr>
        <w:spacing w:after="0" w:line="240" w:lineRule="auto"/>
        <w:ind w:right="173" w:firstLine="619"/>
        <w:jc w:val="both"/>
        <w:rPr>
          <w:rFonts w:ascii="Arial" w:eastAsia="Times New Roman" w:hAnsi="Arial"/>
          <w:color w:val="494949"/>
          <w:sz w:val="36"/>
          <w:rtl/>
        </w:rPr>
      </w:pPr>
      <w:r>
        <w:rPr>
          <w:rFonts w:ascii="Arial" w:eastAsia="Times New Roman" w:hAnsi="Arial" w:hint="cs"/>
          <w:color w:val="494949"/>
          <w:sz w:val="36"/>
          <w:rtl/>
        </w:rPr>
        <w:t>والجزية عند الحنفية تكليف مالي يلتزم بها الذميون بدلاً عن نصرتهم لدار الإسلام</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4"/>
      </w:r>
      <w:r w:rsidRPr="00766C6E">
        <w:rPr>
          <w:rFonts w:ascii="Traditional Arabic" w:hAnsi="Traditional Arabic"/>
          <w:sz w:val="36"/>
          <w:vertAlign w:val="superscript"/>
          <w:rtl/>
        </w:rPr>
        <w:t>)</w:t>
      </w:r>
      <w:r>
        <w:rPr>
          <w:rFonts w:ascii="Arial" w:eastAsia="Times New Roman" w:hAnsi="Arial" w:hint="cs"/>
          <w:color w:val="494949"/>
          <w:sz w:val="36"/>
          <w:rtl/>
        </w:rPr>
        <w:t>.</w:t>
      </w:r>
    </w:p>
    <w:p w:rsidR="00B74232" w:rsidRDefault="00B74232" w:rsidP="00B74232">
      <w:pPr>
        <w:spacing w:after="0" w:line="240" w:lineRule="auto"/>
        <w:ind w:right="173" w:firstLine="619"/>
        <w:jc w:val="both"/>
        <w:rPr>
          <w:rFonts w:ascii="Garamond" w:hAnsi="Garamond"/>
          <w:color w:val="003300"/>
          <w:sz w:val="26"/>
          <w:szCs w:val="32"/>
          <w:rtl/>
          <w:lang w:bidi="ar-OM"/>
        </w:rPr>
      </w:pPr>
      <w:r w:rsidRPr="001B3EAA">
        <w:rPr>
          <w:rFonts w:ascii="Garamond" w:hAnsi="Garamond" w:hint="cs"/>
          <w:color w:val="003300"/>
          <w:sz w:val="36"/>
          <w:rtl/>
          <w:lang w:bidi="ar-OM"/>
        </w:rPr>
        <w:t xml:space="preserve">وقال الشافعي والحنابلة: </w:t>
      </w:r>
      <w:r>
        <w:rPr>
          <w:rFonts w:ascii="Garamond" w:hAnsi="Garamond" w:hint="cs"/>
          <w:color w:val="003300"/>
          <w:sz w:val="36"/>
          <w:rtl/>
          <w:lang w:bidi="ar-OM"/>
        </w:rPr>
        <w:t>"</w:t>
      </w:r>
      <w:r w:rsidRPr="001B3EAA">
        <w:rPr>
          <w:rFonts w:ascii="Garamond" w:hAnsi="Garamond" w:hint="cs"/>
          <w:color w:val="003300"/>
          <w:sz w:val="36"/>
          <w:rtl/>
          <w:lang w:bidi="ar-OM"/>
        </w:rPr>
        <w:t>هي بدل عن حقن دمهم وإقامتهم في دار الإسلام</w:t>
      </w:r>
      <w:r>
        <w:rPr>
          <w:rFonts w:ascii="Garamond" w:hAnsi="Garamond" w:hint="cs"/>
          <w:color w:val="003300"/>
          <w:sz w:val="36"/>
          <w:rtl/>
          <w:lang w:bidi="ar-OM"/>
        </w:rPr>
        <w:t>"</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5"/>
      </w:r>
      <w:r w:rsidRPr="00766C6E">
        <w:rPr>
          <w:rFonts w:ascii="Traditional Arabic" w:hAnsi="Traditional Arabic"/>
          <w:sz w:val="36"/>
          <w:vertAlign w:val="superscript"/>
          <w:rtl/>
        </w:rPr>
        <w:t>)</w:t>
      </w:r>
      <w:r w:rsidRPr="001B3EAA">
        <w:rPr>
          <w:rFonts w:ascii="Garamond" w:hAnsi="Garamond" w:hint="cs"/>
          <w:color w:val="003300"/>
          <w:sz w:val="36"/>
          <w:rtl/>
          <w:lang w:bidi="ar-OM"/>
        </w:rPr>
        <w:t>.</w:t>
      </w:r>
    </w:p>
    <w:p w:rsidR="00B74232" w:rsidRPr="0037534C" w:rsidRDefault="00B74232" w:rsidP="00B74232">
      <w:pPr>
        <w:spacing w:after="0" w:line="240" w:lineRule="auto"/>
        <w:ind w:right="173" w:firstLine="619"/>
        <w:jc w:val="both"/>
        <w:rPr>
          <w:rFonts w:ascii="Garamond" w:hAnsi="Garamond"/>
          <w:color w:val="003300"/>
          <w:sz w:val="36"/>
          <w:rtl/>
          <w:lang w:bidi="ar-OM"/>
        </w:rPr>
      </w:pPr>
      <w:r>
        <w:rPr>
          <w:rFonts w:ascii="Garamond" w:hAnsi="Garamond" w:hint="cs"/>
          <w:color w:val="003300"/>
          <w:sz w:val="36"/>
          <w:rtl/>
          <w:lang w:bidi="ar-OM"/>
        </w:rPr>
        <w:t xml:space="preserve">كذلك </w:t>
      </w:r>
      <w:r w:rsidRPr="0037534C">
        <w:rPr>
          <w:rFonts w:ascii="Garamond" w:hAnsi="Garamond" w:hint="cs"/>
          <w:color w:val="003300"/>
          <w:sz w:val="36"/>
          <w:rtl/>
          <w:lang w:bidi="ar-OM"/>
        </w:rPr>
        <w:t xml:space="preserve">وجود بعض الوظائف العامة </w:t>
      </w:r>
      <w:r>
        <w:rPr>
          <w:rFonts w:ascii="Garamond" w:hAnsi="Garamond" w:hint="cs"/>
          <w:color w:val="003300"/>
          <w:sz w:val="36"/>
          <w:rtl/>
          <w:lang w:bidi="ar-OM"/>
        </w:rPr>
        <w:t>و</w:t>
      </w:r>
      <w:r w:rsidRPr="0037534C">
        <w:rPr>
          <w:rFonts w:ascii="Garamond" w:hAnsi="Garamond" w:hint="cs"/>
          <w:color w:val="003300"/>
          <w:sz w:val="36"/>
          <w:rtl/>
          <w:lang w:bidi="ar-OM"/>
        </w:rPr>
        <w:t xml:space="preserve">تعارض طبيعتها مع كونه ذمي وهي لا يتولاها إلا المسلم كالخلافة والإمارة على الجهاد وذلك أنهما خلفاء عن صاحب الشرع في حراسة الدين وسياسة الدنيا </w:t>
      </w:r>
      <w:r w:rsidRPr="0037534C">
        <w:rPr>
          <w:rFonts w:ascii="Garamond" w:hAnsi="Garamond" w:hint="cs"/>
          <w:color w:val="003300"/>
          <w:sz w:val="36"/>
          <w:rtl/>
          <w:lang w:bidi="ar-OM"/>
        </w:rPr>
        <w:lastRenderedPageBreak/>
        <w:t>به</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6"/>
      </w:r>
      <w:r w:rsidRPr="00766C6E">
        <w:rPr>
          <w:rFonts w:ascii="Traditional Arabic" w:hAnsi="Traditional Arabic"/>
          <w:sz w:val="36"/>
          <w:vertAlign w:val="superscript"/>
          <w:rtl/>
        </w:rPr>
        <w:t>)</w:t>
      </w:r>
      <w:r w:rsidRPr="0037534C">
        <w:rPr>
          <w:rFonts w:ascii="Garamond" w:hAnsi="Garamond" w:hint="cs"/>
          <w:color w:val="003300"/>
          <w:sz w:val="36"/>
          <w:rtl/>
          <w:lang w:bidi="ar-OM"/>
        </w:rPr>
        <w:t>.</w:t>
      </w:r>
      <w:r>
        <w:rPr>
          <w:rFonts w:ascii="Garamond" w:hAnsi="Garamond" w:hint="cs"/>
          <w:color w:val="003300"/>
          <w:sz w:val="26"/>
          <w:szCs w:val="32"/>
          <w:rtl/>
          <w:lang w:bidi="ar-OM"/>
        </w:rPr>
        <w:t xml:space="preserve"> </w:t>
      </w:r>
      <w:r w:rsidRPr="0037534C">
        <w:rPr>
          <w:rFonts w:ascii="Garamond" w:hAnsi="Garamond" w:hint="cs"/>
          <w:color w:val="003300"/>
          <w:sz w:val="36"/>
          <w:rtl/>
          <w:lang w:bidi="ar-OM"/>
        </w:rPr>
        <w:t xml:space="preserve">وذلك لأن رئيس الدولة لابد أن يكون مسلم، إضافة إلى مسألة الجهاد فالمسلم هو الذي يلتزم به لا الذمي وإن كان له الاشتراك مع المسلمين في الدفاع عن دار الإسلام. </w:t>
      </w:r>
    </w:p>
    <w:p w:rsidR="00B74232" w:rsidRDefault="00B74232" w:rsidP="00B74232">
      <w:pPr>
        <w:spacing w:after="0" w:line="240" w:lineRule="auto"/>
        <w:ind w:right="173" w:firstLine="619"/>
        <w:jc w:val="both"/>
        <w:rPr>
          <w:rFonts w:ascii="Garamond" w:hAnsi="Garamond"/>
          <w:color w:val="003300"/>
          <w:sz w:val="26"/>
          <w:szCs w:val="32"/>
          <w:rtl/>
          <w:lang w:bidi="ar-OM"/>
        </w:rPr>
      </w:pPr>
      <w:r w:rsidRPr="0037534C">
        <w:rPr>
          <w:rFonts w:ascii="Garamond" w:hAnsi="Garamond" w:hint="cs"/>
          <w:color w:val="003300"/>
          <w:sz w:val="36"/>
          <w:rtl/>
          <w:lang w:bidi="ar-OM"/>
        </w:rPr>
        <w:t>ولقد حفل التاريخ الإسلام على ما يدل على اشتراك أهل الذمة في تولي بعض الوظائف التنفيذية</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7"/>
      </w:r>
      <w:r w:rsidRPr="00766C6E">
        <w:rPr>
          <w:rFonts w:ascii="Traditional Arabic" w:hAnsi="Traditional Arabic"/>
          <w:sz w:val="36"/>
          <w:vertAlign w:val="superscript"/>
          <w:rtl/>
        </w:rPr>
        <w:t>)</w:t>
      </w:r>
      <w:r>
        <w:rPr>
          <w:rFonts w:ascii="Garamond" w:hAnsi="Garamond" w:hint="cs"/>
          <w:color w:val="003300"/>
          <w:sz w:val="26"/>
          <w:szCs w:val="32"/>
          <w:rtl/>
          <w:lang w:bidi="ar-OM"/>
        </w:rPr>
        <w:t xml:space="preserve"> </w:t>
      </w:r>
      <w:r w:rsidRPr="0037534C">
        <w:rPr>
          <w:rFonts w:ascii="Garamond" w:hAnsi="Garamond" w:hint="cs"/>
          <w:color w:val="003300"/>
          <w:sz w:val="36"/>
          <w:rtl/>
          <w:lang w:bidi="ar-OM"/>
        </w:rPr>
        <w:t>والذي يشبه في وقتنا الحاضر بوظائف الوزراء الذين ينفذون قرارات مجلس الوزراء</w:t>
      </w:r>
      <w:r w:rsidRPr="00766C6E">
        <w:rPr>
          <w:rFonts w:ascii="Traditional Arabic" w:hAnsi="Traditional Arabic"/>
          <w:sz w:val="36"/>
          <w:vertAlign w:val="superscript"/>
          <w:rtl/>
        </w:rPr>
        <w:t>(</w:t>
      </w:r>
      <w:r w:rsidRPr="00766C6E">
        <w:rPr>
          <w:rFonts w:ascii="Traditional Arabic" w:hAnsi="Traditional Arabic"/>
          <w:sz w:val="36"/>
          <w:vertAlign w:val="superscript"/>
          <w:rtl/>
        </w:rPr>
        <w:footnoteReference w:id="8"/>
      </w:r>
      <w:r w:rsidRPr="00766C6E">
        <w:rPr>
          <w:rFonts w:ascii="Traditional Arabic" w:hAnsi="Traditional Arabic"/>
          <w:sz w:val="36"/>
          <w:vertAlign w:val="superscript"/>
          <w:rtl/>
        </w:rPr>
        <w:t>)</w:t>
      </w:r>
      <w:r w:rsidRPr="0037534C">
        <w:rPr>
          <w:rFonts w:ascii="Garamond" w:hAnsi="Garamond" w:hint="cs"/>
          <w:color w:val="003300"/>
          <w:sz w:val="36"/>
          <w:rtl/>
          <w:lang w:bidi="ar-OM"/>
        </w:rPr>
        <w:t>.</w:t>
      </w:r>
      <w:r>
        <w:rPr>
          <w:rFonts w:ascii="Garamond" w:hAnsi="Garamond" w:hint="cs"/>
          <w:color w:val="003300"/>
          <w:sz w:val="26"/>
          <w:szCs w:val="32"/>
          <w:rtl/>
          <w:lang w:bidi="ar-OM"/>
        </w:rPr>
        <w:t xml:space="preserve"> </w:t>
      </w:r>
    </w:p>
    <w:p w:rsidR="00B74232" w:rsidRDefault="00B74232" w:rsidP="00B74232">
      <w:pPr>
        <w:spacing w:after="0" w:line="240" w:lineRule="auto"/>
        <w:ind w:right="173" w:firstLine="619"/>
        <w:jc w:val="both"/>
        <w:rPr>
          <w:rFonts w:ascii="Garamond" w:hAnsi="Garamond"/>
          <w:color w:val="003300"/>
          <w:sz w:val="36"/>
          <w:rtl/>
          <w:lang w:bidi="ar-OM"/>
        </w:rPr>
      </w:pPr>
      <w:r w:rsidRPr="00C0519F">
        <w:rPr>
          <w:rFonts w:ascii="Garamond" w:hAnsi="Garamond" w:hint="cs"/>
          <w:color w:val="003300"/>
          <w:sz w:val="36"/>
          <w:rtl/>
          <w:lang w:bidi="ar-OM"/>
        </w:rPr>
        <w:t>ولقد نص الفقهاء في جانب إسناد الوظائف أخرى للذميين كجباية الجزية والخراج</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9"/>
      </w:r>
      <w:r w:rsidRPr="00C0519F">
        <w:rPr>
          <w:rFonts w:ascii="Traditional Arabic" w:hAnsi="Traditional Arabic"/>
          <w:sz w:val="36"/>
          <w:vertAlign w:val="superscript"/>
          <w:rtl/>
        </w:rPr>
        <w:t>)</w:t>
      </w:r>
      <w:r w:rsidRPr="00C0519F">
        <w:rPr>
          <w:rFonts w:ascii="Garamond" w:hAnsi="Garamond" w:hint="cs"/>
          <w:color w:val="003300"/>
          <w:sz w:val="36"/>
          <w:rtl/>
          <w:lang w:bidi="ar-OM"/>
        </w:rPr>
        <w:t xml:space="preserve"> ووظائف الكتابة والديوان والتعليم وغيرها. </w:t>
      </w:r>
    </w:p>
    <w:p w:rsidR="00B74232" w:rsidRDefault="00B74232" w:rsidP="00B74232">
      <w:pPr>
        <w:spacing w:after="0" w:line="240" w:lineRule="auto"/>
        <w:ind w:right="173" w:firstLine="619"/>
        <w:jc w:val="both"/>
        <w:rPr>
          <w:rFonts w:ascii="Garamond" w:hAnsi="Garamond"/>
          <w:color w:val="003300"/>
          <w:sz w:val="36"/>
          <w:rtl/>
          <w:lang w:bidi="ar-OM"/>
        </w:rPr>
      </w:pPr>
      <w:r>
        <w:rPr>
          <w:rFonts w:ascii="Garamond" w:hAnsi="Garamond" w:hint="cs"/>
          <w:color w:val="003300"/>
          <w:sz w:val="36"/>
          <w:rtl/>
          <w:lang w:bidi="ar-OM"/>
        </w:rPr>
        <w:t xml:space="preserve">كذلك نجد امتداد حماية الدين الإسلامي لأهل الذمة ومنع </w:t>
      </w:r>
      <w:proofErr w:type="spellStart"/>
      <w:r>
        <w:rPr>
          <w:rFonts w:ascii="Garamond" w:hAnsi="Garamond" w:hint="cs"/>
          <w:color w:val="003300"/>
          <w:sz w:val="36"/>
          <w:rtl/>
          <w:lang w:bidi="ar-OM"/>
        </w:rPr>
        <w:t>الأعتداء</w:t>
      </w:r>
      <w:proofErr w:type="spellEnd"/>
      <w:r>
        <w:rPr>
          <w:rFonts w:ascii="Garamond" w:hAnsi="Garamond" w:hint="cs"/>
          <w:color w:val="003300"/>
          <w:sz w:val="36"/>
          <w:rtl/>
          <w:lang w:bidi="ar-OM"/>
        </w:rPr>
        <w:t xml:space="preserve"> عليهم فقد جاء في كتاب الله تعالى: </w:t>
      </w:r>
      <w:r>
        <w:rPr>
          <w:rFonts w:ascii="QCF_BSML" w:hAnsi="QCF_BSML" w:cs="QCF_BSML"/>
          <w:color w:val="008000"/>
          <w:sz w:val="30"/>
          <w:szCs w:val="30"/>
          <w:rtl/>
        </w:rPr>
        <w:t>(</w:t>
      </w:r>
      <w:r>
        <w:rPr>
          <w:rFonts w:ascii="QCF_P122" w:hAnsi="QCF_P122" w:cs="QCF_P122"/>
          <w:color w:val="008000"/>
          <w:sz w:val="30"/>
          <w:szCs w:val="30"/>
          <w:rtl/>
        </w:rPr>
        <w:t>ﮞ ﮟ ﮠ ﮡ ﮢ</w:t>
      </w:r>
      <w:r>
        <w:rPr>
          <w:rFonts w:ascii="QCF_BSML" w:hAnsi="QCF_BSML" w:cs="QCF_BSML"/>
          <w:color w:val="008000"/>
          <w:sz w:val="30"/>
          <w:szCs w:val="30"/>
          <w:rtl/>
        </w:rPr>
        <w:t xml:space="preserve">)  </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0"/>
      </w:r>
      <w:r w:rsidRPr="00C0519F">
        <w:rPr>
          <w:rFonts w:ascii="Traditional Arabic" w:hAnsi="Traditional Arabic"/>
          <w:sz w:val="36"/>
          <w:vertAlign w:val="superscript"/>
          <w:rtl/>
        </w:rPr>
        <w:t>)</w:t>
      </w:r>
      <w:r>
        <w:rPr>
          <w:rFonts w:ascii="Garamond" w:hAnsi="Garamond" w:hint="cs"/>
          <w:color w:val="003300"/>
          <w:sz w:val="36"/>
          <w:rtl/>
          <w:lang w:bidi="ar-OM"/>
        </w:rPr>
        <w:t>. وقال صلى الله عليه وسلم: "من ظلم معاهدًا أو كلفه فوق طاقته فأنا حجيجه"</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1"/>
      </w:r>
      <w:r w:rsidRPr="00C0519F">
        <w:rPr>
          <w:rFonts w:ascii="Traditional Arabic" w:hAnsi="Traditional Arabic"/>
          <w:sz w:val="36"/>
          <w:vertAlign w:val="superscript"/>
          <w:rtl/>
        </w:rPr>
        <w:t>)</w:t>
      </w:r>
      <w:r>
        <w:rPr>
          <w:rFonts w:ascii="Garamond" w:hAnsi="Garamond" w:hint="cs"/>
          <w:color w:val="003300"/>
          <w:sz w:val="36"/>
          <w:rtl/>
          <w:lang w:bidi="ar-OM"/>
        </w:rPr>
        <w:t xml:space="preserve">. ويفهم من ذلك مدى حرص نظام الحكم في الدولة الإسلامية على حقوق الذميين وحرماتهم سواء بما ورد في القرآن الكريم وهو توجيه </w:t>
      </w:r>
      <w:proofErr w:type="spellStart"/>
      <w:r>
        <w:rPr>
          <w:rFonts w:ascii="Garamond" w:hAnsi="Garamond" w:hint="cs"/>
          <w:color w:val="003300"/>
          <w:sz w:val="36"/>
          <w:rtl/>
          <w:lang w:bidi="ar-OM"/>
        </w:rPr>
        <w:t>آلهي</w:t>
      </w:r>
      <w:proofErr w:type="spellEnd"/>
      <w:r>
        <w:rPr>
          <w:rFonts w:ascii="Garamond" w:hAnsi="Garamond" w:hint="cs"/>
          <w:color w:val="003300"/>
          <w:sz w:val="36"/>
          <w:rtl/>
          <w:lang w:bidi="ar-OM"/>
        </w:rPr>
        <w:t xml:space="preserve"> أو ما ورد عن الرسول صلى الله عليه وسلم في سلامتهم وحفظ حرياتهم وحقوقهم. </w:t>
      </w:r>
    </w:p>
    <w:p w:rsidR="00B74232" w:rsidRDefault="00B74232" w:rsidP="00B74232">
      <w:pPr>
        <w:spacing w:after="0" w:line="240" w:lineRule="auto"/>
        <w:ind w:right="173" w:firstLine="619"/>
        <w:jc w:val="lowKashida"/>
        <w:rPr>
          <w:rFonts w:ascii="Garamond" w:hAnsi="Garamond"/>
          <w:color w:val="003300"/>
          <w:sz w:val="36"/>
          <w:rtl/>
          <w:lang w:bidi="ar-OM"/>
        </w:rPr>
      </w:pPr>
      <w:r>
        <w:rPr>
          <w:rFonts w:ascii="Garamond" w:hAnsi="Garamond" w:hint="cs"/>
          <w:color w:val="003300"/>
          <w:sz w:val="36"/>
          <w:rtl/>
          <w:lang w:bidi="ar-OM"/>
        </w:rPr>
        <w:tab/>
        <w:t xml:space="preserve">ويبرز لنا وفق ما سبق وحرص الدين الإسلامي على ذلك في الجانب الفقهي في احتساب الإمام الأوزاعي على صالح بن علي (ابن عم الخليفة المنصور) أحد ولاة الدولة العباسية عندما أجلى قومًا من أهل الذمة من جبل لبنان فقال لهم: "وقد كان من إجلاء أهل الذمة من جبل لبنان ممن لم </w:t>
      </w:r>
      <w:r>
        <w:rPr>
          <w:rFonts w:ascii="Garamond" w:hAnsi="Garamond" w:hint="cs"/>
          <w:color w:val="003300"/>
          <w:sz w:val="36"/>
          <w:rtl/>
          <w:lang w:bidi="ar-OM"/>
        </w:rPr>
        <w:lastRenderedPageBreak/>
        <w:t xml:space="preserve">يكن </w:t>
      </w:r>
      <w:proofErr w:type="spellStart"/>
      <w:r>
        <w:rPr>
          <w:rFonts w:ascii="Garamond" w:hAnsi="Garamond" w:hint="cs"/>
          <w:color w:val="003300"/>
          <w:sz w:val="36"/>
          <w:rtl/>
          <w:lang w:bidi="ar-OM"/>
        </w:rPr>
        <w:t>ممالئًا</w:t>
      </w:r>
      <w:proofErr w:type="spellEnd"/>
      <w:r>
        <w:rPr>
          <w:rFonts w:ascii="Garamond" w:hAnsi="Garamond" w:hint="cs"/>
          <w:color w:val="003300"/>
          <w:sz w:val="36"/>
          <w:rtl/>
          <w:lang w:bidi="ar-OM"/>
        </w:rPr>
        <w:t xml:space="preserve"> لمن خرج على خروجه ممن قتلت بعضهم، ورددت باقيهم إلى قراهم ما قد علمت فكيف تأخذ من تحويلهم من بلد إلى بلد في سعة ولكنهم أحرار، أهل ذمة"</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2"/>
      </w:r>
      <w:r w:rsidRPr="00C0519F">
        <w:rPr>
          <w:rFonts w:ascii="Traditional Arabic" w:hAnsi="Traditional Arabic"/>
          <w:sz w:val="36"/>
          <w:vertAlign w:val="superscript"/>
          <w:rtl/>
        </w:rPr>
        <w:t>)</w:t>
      </w:r>
      <w:r>
        <w:rPr>
          <w:rFonts w:ascii="Garamond" w:hAnsi="Garamond" w:hint="cs"/>
          <w:color w:val="003300"/>
          <w:sz w:val="36"/>
          <w:rtl/>
          <w:lang w:bidi="ar-OM"/>
        </w:rPr>
        <w:t xml:space="preserve">. </w:t>
      </w:r>
    </w:p>
    <w:p w:rsidR="00B74232" w:rsidRDefault="00B74232" w:rsidP="00B74232">
      <w:pPr>
        <w:spacing w:after="0" w:line="240" w:lineRule="auto"/>
        <w:ind w:right="173" w:firstLine="619"/>
        <w:jc w:val="both"/>
        <w:rPr>
          <w:sz w:val="36"/>
          <w:rtl/>
        </w:rPr>
      </w:pPr>
      <w:r>
        <w:rPr>
          <w:rFonts w:ascii="Garamond" w:hAnsi="Garamond" w:hint="cs"/>
          <w:color w:val="003300"/>
          <w:sz w:val="36"/>
          <w:rtl/>
          <w:lang w:bidi="ar-OM"/>
        </w:rPr>
        <w:t xml:space="preserve">كذلك تمتع الذميين بحرمة المسكن وعدم جواز الدخول على أحد منهم إلا بإذنهم ورضاهم، وهذا واضح من التوجيه في الآية الكريمة التي جاءت للجميع للمسلمين والذميين، قال تعالى: </w:t>
      </w:r>
      <w:r>
        <w:rPr>
          <w:rFonts w:ascii="QCF_BSML" w:hAnsi="QCF_BSML" w:cs="QCF_BSML"/>
          <w:color w:val="008000"/>
          <w:sz w:val="30"/>
          <w:szCs w:val="30"/>
          <w:rtl/>
        </w:rPr>
        <w:t>(</w:t>
      </w:r>
      <w:r>
        <w:rPr>
          <w:rFonts w:ascii="QCF_P352" w:hAnsi="QCF_P352" w:cs="QCF_P352"/>
          <w:color w:val="008000"/>
          <w:sz w:val="30"/>
          <w:szCs w:val="30"/>
          <w:rtl/>
        </w:rPr>
        <w:t>ﯯ ﯰ ﯱ ﯲ ﯳ ﯴ ﯵ ﯶ ﯷ ﯸ ﯹ ﯺ ﯻ ﯼ ﯽ ﯾ ﯿ ﰀ ﰁ ﰂ</w:t>
      </w:r>
      <w:r>
        <w:rPr>
          <w:rFonts w:ascii="QCF_P352" w:hAnsi="QCF_P352" w:cs="QCF_P352" w:hint="cs"/>
          <w:color w:val="008000"/>
          <w:sz w:val="30"/>
          <w:szCs w:val="30"/>
          <w:rtl/>
        </w:rPr>
        <w:t xml:space="preserve">  </w:t>
      </w:r>
      <w:r>
        <w:rPr>
          <w:rFonts w:ascii="QCF_P353" w:hAnsi="QCF_P353" w:cs="QCF_P353"/>
          <w:color w:val="008000"/>
          <w:sz w:val="30"/>
          <w:szCs w:val="30"/>
          <w:rtl/>
        </w:rPr>
        <w:t>ﭑ ﭒ ﭓ ﭔ ﭕ ﭖ ﭗ ﭘ ﭙ ﭚ ﭛ ﭜ ﭝ ﭞ ﭟ ﭠ ﭡ ﭢ ﭣ ﭤ ﭥ ﭦ ﭧ ﭨ ﭩ</w:t>
      </w:r>
      <w:r>
        <w:rPr>
          <w:rFonts w:ascii="QCF_BSML" w:hAnsi="QCF_BSML" w:cs="QCF_BSML"/>
          <w:color w:val="008000"/>
          <w:sz w:val="30"/>
          <w:szCs w:val="30"/>
          <w:rtl/>
        </w:rPr>
        <w:t>)</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3"/>
      </w:r>
      <w:r w:rsidRPr="00C0519F">
        <w:rPr>
          <w:rFonts w:ascii="Traditional Arabic" w:hAnsi="Traditional Arabic"/>
          <w:sz w:val="36"/>
          <w:vertAlign w:val="superscript"/>
          <w:rtl/>
        </w:rPr>
        <w:t>)</w:t>
      </w:r>
      <w:r>
        <w:rPr>
          <w:rFonts w:hint="cs"/>
          <w:sz w:val="36"/>
          <w:rtl/>
        </w:rPr>
        <w:t>.</w:t>
      </w:r>
    </w:p>
    <w:p w:rsidR="00B74232" w:rsidRDefault="00B74232" w:rsidP="00B74232">
      <w:pPr>
        <w:spacing w:after="0" w:line="240" w:lineRule="auto"/>
        <w:ind w:right="173" w:firstLine="619"/>
        <w:jc w:val="both"/>
        <w:rPr>
          <w:sz w:val="36"/>
          <w:rtl/>
        </w:rPr>
      </w:pPr>
      <w:r>
        <w:rPr>
          <w:rFonts w:hint="cs"/>
          <w:sz w:val="36"/>
          <w:rtl/>
        </w:rPr>
        <w:t>نضيف أيضًا إلى تمتعهم بحق الرعاية من قبل الدولة الإسلامية وكفالتها لهم والحفاظ عليهم وتوفير الحياة الاجتماعية الكريمة لهم وحقهم في بيت المال والتمتع بكل الخدمات والوسائل التي قدمتها لهم الدولة الإسلامية، ومن ذلك الصلح الذي قام خالد بن الوليد بإبرامه في زمن أبي بكر الصديق مع أهل الحيرة والذي قال فيه: "وجعلت لهم (مخاطبًا الخليفة) أيما شيخ ضعف عن العمل أو أصابته آفة من الآفات أو كان غنيًا فأفتقر وصار أهل دينه يتصدقون عليه طرحت جزيته وعيل من بيت مال المسلمين ما أقام بدار الهجرة ودار الإسلام"</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4"/>
      </w:r>
      <w:r w:rsidRPr="00C0519F">
        <w:rPr>
          <w:rFonts w:ascii="Traditional Arabic" w:hAnsi="Traditional Arabic"/>
          <w:sz w:val="36"/>
          <w:vertAlign w:val="superscript"/>
          <w:rtl/>
        </w:rPr>
        <w:t>)</w:t>
      </w:r>
      <w:r>
        <w:rPr>
          <w:rFonts w:hint="cs"/>
          <w:sz w:val="36"/>
          <w:rtl/>
        </w:rPr>
        <w:t xml:space="preserve">. </w:t>
      </w:r>
    </w:p>
    <w:p w:rsidR="00B74232" w:rsidRDefault="00B74232" w:rsidP="00B74232">
      <w:pPr>
        <w:spacing w:after="0" w:line="240" w:lineRule="auto"/>
        <w:ind w:right="173" w:firstLine="619"/>
        <w:jc w:val="both"/>
        <w:rPr>
          <w:rFonts w:ascii="Garamond" w:hAnsi="Garamond"/>
          <w:color w:val="003300"/>
          <w:sz w:val="36"/>
          <w:rtl/>
          <w:lang w:bidi="ar-OM"/>
        </w:rPr>
      </w:pPr>
      <w:r>
        <w:rPr>
          <w:rFonts w:hint="cs"/>
          <w:sz w:val="36"/>
          <w:rtl/>
        </w:rPr>
        <w:t>كذلك امتداد تلك الرعاية الاجتماعية وكفالة الدولة الإسلامية لرعاياها ممثلة في تصرف الخليفة الراشد عمر بن الخطاب والذي رواه أبو يوسف في كتابه الخراج "أن عمر بن الخطاب مر بباب قوم وعليه سائل يهودي (شيخ كبير ضرير البصر) فقال</w:t>
      </w:r>
      <w:r w:rsidRPr="00D340BA">
        <w:rPr>
          <w:rFonts w:hint="cs"/>
          <w:sz w:val="36"/>
          <w:rtl/>
        </w:rPr>
        <w:t xml:space="preserve">: </w:t>
      </w:r>
      <w:r w:rsidRPr="00D340BA">
        <w:rPr>
          <w:rFonts w:ascii="Garamond" w:hAnsi="Garamond" w:hint="cs"/>
          <w:color w:val="003300"/>
          <w:sz w:val="36"/>
          <w:rtl/>
          <w:lang w:bidi="ar-OM"/>
        </w:rPr>
        <w:t>ما</w:t>
      </w:r>
      <w:r>
        <w:rPr>
          <w:rFonts w:ascii="Garamond" w:hAnsi="Garamond" w:hint="cs"/>
          <w:color w:val="003300"/>
          <w:sz w:val="36"/>
          <w:rtl/>
          <w:lang w:bidi="ar-OM"/>
        </w:rPr>
        <w:t xml:space="preserve"> أنصفناك أن كنا أخذنا منك الجزية في شبيبتك ثم ضيعناك في كبرك، </w:t>
      </w:r>
      <w:r w:rsidRPr="00D340BA">
        <w:rPr>
          <w:rFonts w:ascii="Garamond" w:hAnsi="Garamond" w:hint="cs"/>
          <w:color w:val="003300"/>
          <w:sz w:val="36"/>
          <w:rtl/>
          <w:lang w:bidi="ar-OM"/>
        </w:rPr>
        <w:t>قال: ثم أجرى عليه من بيت المال ما يصلحه</w:t>
      </w:r>
      <w:r>
        <w:rPr>
          <w:rFonts w:ascii="Garamond" w:hAnsi="Garamond" w:hint="cs"/>
          <w:color w:val="003300"/>
          <w:sz w:val="36"/>
          <w:rtl/>
          <w:lang w:bidi="ar-OM"/>
        </w:rPr>
        <w:t>"</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5"/>
      </w:r>
      <w:r w:rsidRPr="00C0519F">
        <w:rPr>
          <w:rFonts w:ascii="Traditional Arabic" w:hAnsi="Traditional Arabic"/>
          <w:sz w:val="36"/>
          <w:vertAlign w:val="superscript"/>
          <w:rtl/>
        </w:rPr>
        <w:t>)</w:t>
      </w:r>
      <w:r>
        <w:rPr>
          <w:rFonts w:ascii="Garamond" w:hAnsi="Garamond" w:hint="cs"/>
          <w:color w:val="003300"/>
          <w:sz w:val="36"/>
          <w:rtl/>
          <w:lang w:bidi="ar-OM"/>
        </w:rPr>
        <w:t>.</w:t>
      </w:r>
    </w:p>
    <w:p w:rsidR="00B74232" w:rsidRDefault="00B74232" w:rsidP="00B74232">
      <w:pPr>
        <w:spacing w:after="0" w:line="240" w:lineRule="auto"/>
        <w:ind w:right="173" w:firstLine="619"/>
        <w:jc w:val="lowKashida"/>
        <w:rPr>
          <w:sz w:val="36"/>
          <w:rtl/>
        </w:rPr>
      </w:pPr>
      <w:r>
        <w:rPr>
          <w:rFonts w:ascii="Garamond" w:hAnsi="Garamond" w:hint="cs"/>
          <w:color w:val="003300"/>
          <w:sz w:val="36"/>
          <w:rtl/>
          <w:lang w:bidi="ar-OM"/>
        </w:rPr>
        <w:t xml:space="preserve">كذلك نجد تعامل الدولة الإسلامية في مسائل الأحوال الشخصية لأهل الذمة أنها لا تتدخل في عقودهم ومن لا تجرى عليهم أحكام المسلمين، وذلك لأنه من حقوقهم الخاصة إلا إذا لجئوا إلى </w:t>
      </w:r>
      <w:r>
        <w:rPr>
          <w:rFonts w:ascii="Garamond" w:hAnsi="Garamond" w:hint="cs"/>
          <w:color w:val="003300"/>
          <w:sz w:val="36"/>
          <w:rtl/>
          <w:lang w:bidi="ar-OM"/>
        </w:rPr>
        <w:lastRenderedPageBreak/>
        <w:t xml:space="preserve">الحكام المسلمين أو كان الزواج بين مسلم </w:t>
      </w:r>
      <w:proofErr w:type="spellStart"/>
      <w:r>
        <w:rPr>
          <w:rFonts w:ascii="Garamond" w:hAnsi="Garamond" w:hint="cs"/>
          <w:color w:val="003300"/>
          <w:sz w:val="36"/>
          <w:rtl/>
          <w:lang w:bidi="ar-OM"/>
        </w:rPr>
        <w:t>وذمية</w:t>
      </w:r>
      <w:proofErr w:type="spellEnd"/>
      <w:r>
        <w:rPr>
          <w:rFonts w:ascii="Garamond" w:hAnsi="Garamond" w:hint="cs"/>
          <w:color w:val="003300"/>
          <w:sz w:val="36"/>
          <w:rtl/>
          <w:lang w:bidi="ar-OM"/>
        </w:rPr>
        <w:t xml:space="preserve">، فوقتها تجري عليهم أحكام المسلمين، حيث كان مبدأ الدولة الإسلامية إعطاءهم حرية إبرام عقودهم الخاصة بهم في الزواج والطلاق، قال تعالى: </w:t>
      </w:r>
      <w:r>
        <w:rPr>
          <w:rFonts w:ascii="QCF_BSML" w:hAnsi="QCF_BSML" w:cs="QCF_BSML"/>
          <w:color w:val="008000"/>
          <w:sz w:val="30"/>
          <w:szCs w:val="30"/>
          <w:rtl/>
        </w:rPr>
        <w:t>(</w:t>
      </w:r>
      <w:r>
        <w:rPr>
          <w:rFonts w:ascii="QCF_P115" w:hAnsi="QCF_P115" w:cs="QCF_P115"/>
          <w:color w:val="008000"/>
          <w:sz w:val="30"/>
          <w:szCs w:val="30"/>
          <w:rtl/>
        </w:rPr>
        <w:t>ﭖ ﭗ ﭘ ﭙ ﭚ ﭛ ﭜ ﭝ ﭞ ﭟ ﭠ ﭡ ﭢ ﭣ ﭤ ﭥ ﭦ ﭧ ﭨ ﭩ ﭪ ﭫ ﭬ ﭭ ﭮ</w:t>
      </w:r>
      <w:r>
        <w:rPr>
          <w:rFonts w:ascii="QCF_BSML" w:hAnsi="QCF_BSML" w:cs="QCF_BSML"/>
          <w:color w:val="008000"/>
          <w:sz w:val="30"/>
          <w:szCs w:val="30"/>
          <w:rtl/>
        </w:rPr>
        <w:t>)</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6"/>
      </w:r>
      <w:r w:rsidRPr="00C0519F">
        <w:rPr>
          <w:rFonts w:ascii="Traditional Arabic" w:hAnsi="Traditional Arabic"/>
          <w:sz w:val="36"/>
          <w:vertAlign w:val="superscript"/>
          <w:rtl/>
        </w:rPr>
        <w:t>)</w:t>
      </w:r>
      <w:r>
        <w:rPr>
          <w:rFonts w:hint="cs"/>
          <w:sz w:val="36"/>
          <w:rtl/>
        </w:rPr>
        <w:t xml:space="preserve">. </w:t>
      </w:r>
    </w:p>
    <w:p w:rsidR="00B74232" w:rsidRDefault="00B74232" w:rsidP="00B74232">
      <w:pPr>
        <w:spacing w:after="0" w:line="240" w:lineRule="auto"/>
        <w:ind w:right="173" w:firstLine="619"/>
        <w:jc w:val="both"/>
        <w:rPr>
          <w:rFonts w:ascii="Garamond" w:hAnsi="Garamond"/>
          <w:color w:val="003300"/>
          <w:sz w:val="36"/>
          <w:rtl/>
          <w:lang w:bidi="ar-OM"/>
        </w:rPr>
      </w:pPr>
      <w:r>
        <w:rPr>
          <w:rFonts w:hint="cs"/>
          <w:sz w:val="36"/>
          <w:rtl/>
        </w:rPr>
        <w:t xml:space="preserve">وهذا يبرز احترام النظام السياسي في الدولة الإسلامية لحرياتهم وعقائدهم وعدم تدخله فيها إلا في حال طلبهم ذلك. مع وجود </w:t>
      </w:r>
      <w:proofErr w:type="spellStart"/>
      <w:r>
        <w:rPr>
          <w:rFonts w:hint="cs"/>
          <w:sz w:val="36"/>
          <w:rtl/>
        </w:rPr>
        <w:t>اسثتناء</w:t>
      </w:r>
      <w:proofErr w:type="spellEnd"/>
      <w:r>
        <w:rPr>
          <w:rFonts w:hint="cs"/>
          <w:sz w:val="36"/>
          <w:rtl/>
        </w:rPr>
        <w:t xml:space="preserve"> هنا في جانب عقود النكاح حيث لا يكون الذمي وليَّا </w:t>
      </w:r>
      <w:r w:rsidRPr="00997274">
        <w:rPr>
          <w:rFonts w:ascii="Garamond" w:hAnsi="Garamond" w:hint="cs"/>
          <w:color w:val="003300"/>
          <w:sz w:val="36"/>
          <w:rtl/>
          <w:lang w:bidi="ar-OM"/>
        </w:rPr>
        <w:t>لابنته المسلمة في عقد النكاح وإنما يكون وليُّها مسلمًا إما من قرابتها فإن لم يكن فالسلطان وليها</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7"/>
      </w:r>
      <w:r w:rsidRPr="00C0519F">
        <w:rPr>
          <w:rFonts w:ascii="Traditional Arabic" w:hAnsi="Traditional Arabic"/>
          <w:sz w:val="36"/>
          <w:vertAlign w:val="superscript"/>
          <w:rtl/>
        </w:rPr>
        <w:t>)</w:t>
      </w:r>
      <w:r>
        <w:rPr>
          <w:rFonts w:ascii="Traditional Arabic" w:hAnsi="Traditional Arabic" w:hint="cs"/>
          <w:sz w:val="36"/>
          <w:vertAlign w:val="superscript"/>
          <w:rtl/>
        </w:rPr>
        <w:t xml:space="preserve"> </w:t>
      </w:r>
      <w:r w:rsidRPr="00997274">
        <w:rPr>
          <w:rFonts w:ascii="Garamond" w:hAnsi="Garamond" w:hint="cs"/>
          <w:color w:val="003300"/>
          <w:sz w:val="36"/>
          <w:rtl/>
          <w:lang w:bidi="ar-OM"/>
        </w:rPr>
        <w:t xml:space="preserve">ويجوز للمرأة </w:t>
      </w:r>
      <w:proofErr w:type="spellStart"/>
      <w:r w:rsidRPr="00997274">
        <w:rPr>
          <w:rFonts w:ascii="Garamond" w:hAnsi="Garamond" w:hint="cs"/>
          <w:color w:val="003300"/>
          <w:sz w:val="36"/>
          <w:rtl/>
          <w:lang w:bidi="ar-OM"/>
        </w:rPr>
        <w:t>الذمية</w:t>
      </w:r>
      <w:proofErr w:type="spellEnd"/>
      <w:r w:rsidRPr="00997274">
        <w:rPr>
          <w:rFonts w:ascii="Garamond" w:hAnsi="Garamond" w:hint="cs"/>
          <w:color w:val="003300"/>
          <w:sz w:val="36"/>
          <w:rtl/>
          <w:lang w:bidi="ar-OM"/>
        </w:rPr>
        <w:t xml:space="preserve"> التزوج بذمي أو كافر بعد موت زوجها المسلم أو طلاقها، وتجب عليها العدة حفاظا على حق الزوج المسلم</w:t>
      </w:r>
      <w:r w:rsidRPr="00997274">
        <w:rPr>
          <w:rFonts w:ascii="Garamond" w:hAnsi="Garamond" w:hint="cs"/>
          <w:color w:val="003300"/>
          <w:sz w:val="36"/>
          <w:lang w:bidi="ar-OM"/>
        </w:rPr>
        <w:t>.</w:t>
      </w:r>
      <w:r w:rsidRPr="00997274">
        <w:rPr>
          <w:rFonts w:ascii="Garamond" w:hAnsi="Garamond" w:hint="cs"/>
          <w:color w:val="003300"/>
          <w:sz w:val="36"/>
          <w:rtl/>
          <w:lang w:bidi="ar-OM"/>
        </w:rPr>
        <w:t xml:space="preserve"> </w:t>
      </w:r>
      <w:r>
        <w:rPr>
          <w:rFonts w:ascii="Garamond" w:hAnsi="Garamond" w:hint="cs"/>
          <w:color w:val="003300"/>
          <w:sz w:val="36"/>
          <w:rtl/>
          <w:lang w:bidi="ar-OM"/>
        </w:rPr>
        <w:t xml:space="preserve"> </w:t>
      </w:r>
    </w:p>
    <w:p w:rsidR="00B74232" w:rsidRPr="00997274" w:rsidRDefault="00B74232" w:rsidP="00B74232">
      <w:pPr>
        <w:spacing w:after="0" w:line="240" w:lineRule="auto"/>
        <w:ind w:right="173" w:firstLine="619"/>
        <w:jc w:val="both"/>
        <w:rPr>
          <w:rFonts w:ascii="QCF_P115" w:hAnsi="QCF_P115"/>
          <w:color w:val="008000"/>
          <w:sz w:val="36"/>
        </w:rPr>
      </w:pPr>
      <w:r>
        <w:rPr>
          <w:rFonts w:ascii="Garamond" w:hAnsi="Garamond" w:hint="cs"/>
          <w:color w:val="003300"/>
          <w:sz w:val="36"/>
          <w:rtl/>
          <w:lang w:bidi="ar-OM"/>
        </w:rPr>
        <w:t xml:space="preserve">كذلك تساويهم مع المسلمين في الالتزامات المالية تجاه بيت المال حيث يخضع الذميون لضريبة التجارة التي تفرض على أموالهم الذي يتاجرون بها، ومقدارها نصف العشر، وكذلك المسلمين يخضعون لها وتسمى عندهم الزكاة، ويشترط في المال وفق اشتراط أغلب الفقهاء أن يؤخذ عليه ضريبة إذا بلغ نصابًا معينًا، وكذلك لا يكون على الذمي ضريبة في ماله المتاجر به داخل بلده، والسبب في ذلك ما أوضحه الفقهاء أن ذلك كان بسبب الحماية يقول </w:t>
      </w:r>
      <w:proofErr w:type="spellStart"/>
      <w:r>
        <w:rPr>
          <w:rFonts w:ascii="Garamond" w:hAnsi="Garamond" w:hint="cs"/>
          <w:color w:val="003300"/>
          <w:sz w:val="36"/>
          <w:rtl/>
          <w:lang w:bidi="ar-OM"/>
        </w:rPr>
        <w:t>الكاساني</w:t>
      </w:r>
      <w:proofErr w:type="spellEnd"/>
      <w:r>
        <w:rPr>
          <w:rFonts w:ascii="Garamond" w:hAnsi="Garamond" w:hint="cs"/>
          <w:color w:val="003300"/>
          <w:sz w:val="36"/>
          <w:rtl/>
          <w:lang w:bidi="ar-OM"/>
        </w:rPr>
        <w:t xml:space="preserve"> الحنفي: "وإن الجباية بالحماية"</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8"/>
      </w:r>
      <w:r w:rsidRPr="00C0519F">
        <w:rPr>
          <w:rFonts w:ascii="Traditional Arabic" w:hAnsi="Traditional Arabic"/>
          <w:sz w:val="36"/>
          <w:vertAlign w:val="superscript"/>
          <w:rtl/>
        </w:rPr>
        <w:t>)</w:t>
      </w:r>
      <w:r>
        <w:rPr>
          <w:rFonts w:ascii="Garamond" w:hAnsi="Garamond" w:hint="cs"/>
          <w:color w:val="003300"/>
          <w:sz w:val="36"/>
          <w:rtl/>
          <w:lang w:bidi="ar-OM"/>
        </w:rPr>
        <w:t xml:space="preserve"> وكذلك بسبب انتفاعه بالمرافق العامة التي توفرها الدولة</w:t>
      </w:r>
      <w:r w:rsidRPr="00C0519F">
        <w:rPr>
          <w:rFonts w:ascii="Traditional Arabic" w:hAnsi="Traditional Arabic"/>
          <w:sz w:val="36"/>
          <w:vertAlign w:val="superscript"/>
          <w:rtl/>
        </w:rPr>
        <w:t>(</w:t>
      </w:r>
      <w:r w:rsidRPr="00C0519F">
        <w:rPr>
          <w:rFonts w:ascii="Traditional Arabic" w:hAnsi="Traditional Arabic"/>
          <w:sz w:val="36"/>
          <w:vertAlign w:val="superscript"/>
          <w:rtl/>
        </w:rPr>
        <w:footnoteReference w:id="19"/>
      </w:r>
      <w:r w:rsidRPr="00C0519F">
        <w:rPr>
          <w:rFonts w:ascii="Traditional Arabic" w:hAnsi="Traditional Arabic"/>
          <w:sz w:val="36"/>
          <w:vertAlign w:val="superscript"/>
          <w:rtl/>
        </w:rPr>
        <w:t>)</w:t>
      </w:r>
      <w:r>
        <w:rPr>
          <w:rFonts w:ascii="Garamond" w:hAnsi="Garamond" w:hint="cs"/>
          <w:color w:val="003300"/>
          <w:sz w:val="36"/>
          <w:rtl/>
          <w:lang w:bidi="ar-OM"/>
        </w:rPr>
        <w:t>.</w:t>
      </w:r>
    </w:p>
    <w:p w:rsidR="00B74232" w:rsidRDefault="00B74232" w:rsidP="00B74232">
      <w:pPr>
        <w:spacing w:after="0" w:line="240" w:lineRule="auto"/>
        <w:ind w:right="173" w:firstLine="619"/>
        <w:jc w:val="lowKashida"/>
        <w:rPr>
          <w:rFonts w:ascii="Garamond" w:hAnsi="Garamond"/>
          <w:color w:val="003300"/>
          <w:sz w:val="36"/>
          <w:rtl/>
          <w:lang w:bidi="ar-OM"/>
        </w:rPr>
      </w:pPr>
      <w:r>
        <w:rPr>
          <w:rFonts w:ascii="Garamond" w:hAnsi="Garamond" w:hint="cs"/>
          <w:color w:val="003300"/>
          <w:sz w:val="36"/>
          <w:rtl/>
          <w:lang w:bidi="ar-OM"/>
        </w:rPr>
        <w:t xml:space="preserve">مما يوضح عظمة ديننا الإسلامي وانعكاس ذلك في نظامه السياسي في إدارة شؤون الحكم ووضوح ذلك في سياسته وتسيير ورعاية الحقوق والحريات ليس للمسلمين فقط وإنما لغير المسلمين الذين أخذوا عهد العيش بأمان وسلام في دار الإسلام مما يجعل ذلك أقوى رد على سمو هذا الدين </w:t>
      </w:r>
      <w:r>
        <w:rPr>
          <w:rFonts w:ascii="Garamond" w:hAnsi="Garamond" w:hint="cs"/>
          <w:color w:val="003300"/>
          <w:sz w:val="36"/>
          <w:rtl/>
          <w:lang w:bidi="ar-OM"/>
        </w:rPr>
        <w:lastRenderedPageBreak/>
        <w:t>وقاطعًا للمتحدثين بحديث الأقليات العرقية والنعرات الطائفية وهضم الحقوق لهم بعدالة ومساواة الإسلام للجميع مسلم وذمي.</w:t>
      </w:r>
    </w:p>
    <w:p w:rsidR="00B74232" w:rsidRDefault="00B74232" w:rsidP="00B74232">
      <w:pPr>
        <w:spacing w:after="0" w:line="240" w:lineRule="auto"/>
        <w:ind w:right="173" w:firstLine="619"/>
        <w:jc w:val="both"/>
        <w:rPr>
          <w:rFonts w:ascii="QCF_P122" w:hAnsi="QCF_P122" w:cs="QCF_P122"/>
          <w:color w:val="008000"/>
          <w:sz w:val="30"/>
          <w:szCs w:val="30"/>
        </w:rPr>
      </w:pPr>
      <w:r>
        <w:rPr>
          <w:rFonts w:ascii="Garamond" w:hAnsi="Garamond" w:hint="cs"/>
          <w:color w:val="003300"/>
          <w:sz w:val="36"/>
          <w:rtl/>
          <w:lang w:bidi="ar-OM"/>
        </w:rPr>
        <w:t xml:space="preserve">لذا نلمس دور الحسبة السياسية واتصالها بتنظيم وتسيير شؤون الحياة للناس وحفظ حقوق وحريات جميع الأفراد مسلمين وغير مسلمين دون جور أو ظلم. مما يؤكد للمشككين بصلاحية نظام الحكم الإسلامي في رعاية حقوقهم ومصالحهم وصلاحيه نظامه ونجاحه منذ ألف واربعمائة سنة مما يحفز القائمين على الأمور تطبيق نظام الحكم الإسلامي تطبيقًا كاملاً وفعليًا. </w:t>
      </w:r>
    </w:p>
    <w:p w:rsidR="00EC6342" w:rsidRPr="00B74232" w:rsidRDefault="00EC6342">
      <w:pPr>
        <w:rPr>
          <w:rFonts w:ascii="Traditional Arabic" w:hAnsi="Traditional Arabic"/>
          <w:sz w:val="36"/>
        </w:rPr>
      </w:pPr>
    </w:p>
    <w:sectPr w:rsidR="00EC6342" w:rsidRPr="00B74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DA" w:rsidRDefault="002747DA" w:rsidP="00B74232">
      <w:pPr>
        <w:spacing w:after="0" w:line="240" w:lineRule="auto"/>
      </w:pPr>
      <w:r>
        <w:separator/>
      </w:r>
    </w:p>
  </w:endnote>
  <w:endnote w:type="continuationSeparator" w:id="0">
    <w:p w:rsidR="002747DA" w:rsidRDefault="002747DA" w:rsidP="00B7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QCF_P108">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Garamond">
    <w:panose1 w:val="02020404030301010803"/>
    <w:charset w:val="00"/>
    <w:family w:val="roman"/>
    <w:pitch w:val="variable"/>
    <w:sig w:usb0="00000287" w:usb1="00000000" w:usb2="00000000" w:usb3="00000000" w:csb0="0000009F" w:csb1="00000000"/>
  </w:font>
  <w:font w:name="QCF_P122">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DA" w:rsidRDefault="002747DA" w:rsidP="00B74232">
      <w:pPr>
        <w:spacing w:after="0" w:line="240" w:lineRule="auto"/>
      </w:pPr>
      <w:r>
        <w:separator/>
      </w:r>
    </w:p>
  </w:footnote>
  <w:footnote w:type="continuationSeparator" w:id="0">
    <w:p w:rsidR="002747DA" w:rsidRDefault="002747DA" w:rsidP="00B74232">
      <w:pPr>
        <w:spacing w:after="0" w:line="240" w:lineRule="auto"/>
      </w:pPr>
      <w:r>
        <w:continuationSeparator/>
      </w:r>
    </w:p>
  </w:footnote>
  <w:footnote w:id="1">
    <w:p w:rsidR="00B74232" w:rsidRPr="00832834" w:rsidRDefault="00B74232" w:rsidP="00B74232">
      <w:pPr>
        <w:shd w:val="clear" w:color="auto" w:fill="FFFFFF"/>
        <w:spacing w:after="0" w:line="240" w:lineRule="auto"/>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Arial" w:eastAsia="Times New Roman" w:hAnsi="Arial" w:hint="cs"/>
          <w:color w:val="494949"/>
          <w:sz w:val="28"/>
          <w:szCs w:val="28"/>
          <w:rtl/>
        </w:rPr>
        <w:t>سورة المائدة، الآية: 8</w:t>
      </w:r>
      <w:r w:rsidRPr="001217E8">
        <w:rPr>
          <w:rFonts w:ascii="Arial" w:eastAsia="Times New Roman" w:hAnsi="Arial"/>
          <w:color w:val="494949"/>
          <w:sz w:val="28"/>
          <w:szCs w:val="28"/>
          <w:rtl/>
        </w:rPr>
        <w:t>.</w:t>
      </w:r>
      <w:r>
        <w:rPr>
          <w:rFonts w:hint="cs"/>
          <w:sz w:val="28"/>
          <w:szCs w:val="28"/>
          <w:rtl/>
        </w:rPr>
        <w:t xml:space="preserve"> </w:t>
      </w:r>
    </w:p>
  </w:footnote>
  <w:footnote w:id="2">
    <w:p w:rsidR="00B74232" w:rsidRPr="00832834" w:rsidRDefault="00B74232" w:rsidP="00B74232">
      <w:pPr>
        <w:shd w:val="clear" w:color="auto" w:fill="FFFFFF"/>
        <w:spacing w:after="0" w:line="240" w:lineRule="auto"/>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sidRPr="004E7618">
        <w:rPr>
          <w:rFonts w:hint="cs"/>
          <w:sz w:val="28"/>
          <w:szCs w:val="28"/>
          <w:rtl/>
        </w:rPr>
        <w:t>الطبراني : أبو</w:t>
      </w:r>
      <w:r w:rsidRPr="004E7618">
        <w:rPr>
          <w:sz w:val="28"/>
          <w:szCs w:val="28"/>
          <w:rtl/>
        </w:rPr>
        <w:t xml:space="preserve"> </w:t>
      </w:r>
      <w:r w:rsidRPr="004E7618">
        <w:rPr>
          <w:rFonts w:hint="cs"/>
          <w:sz w:val="28"/>
          <w:szCs w:val="28"/>
          <w:rtl/>
        </w:rPr>
        <w:t>القاسم</w:t>
      </w:r>
      <w:r w:rsidRPr="004E7618">
        <w:rPr>
          <w:sz w:val="28"/>
          <w:szCs w:val="28"/>
          <w:rtl/>
        </w:rPr>
        <w:t xml:space="preserve"> </w:t>
      </w:r>
      <w:r w:rsidRPr="004E7618">
        <w:rPr>
          <w:rFonts w:hint="cs"/>
          <w:sz w:val="28"/>
          <w:szCs w:val="28"/>
          <w:rtl/>
        </w:rPr>
        <w:t>سليمان</w:t>
      </w:r>
      <w:r w:rsidRPr="004E7618">
        <w:rPr>
          <w:sz w:val="28"/>
          <w:szCs w:val="28"/>
          <w:rtl/>
        </w:rPr>
        <w:t xml:space="preserve"> </w:t>
      </w:r>
      <w:r w:rsidRPr="004E7618">
        <w:rPr>
          <w:rFonts w:hint="cs"/>
          <w:sz w:val="28"/>
          <w:szCs w:val="28"/>
          <w:rtl/>
        </w:rPr>
        <w:t>بن</w:t>
      </w:r>
      <w:r w:rsidRPr="004E7618">
        <w:rPr>
          <w:sz w:val="28"/>
          <w:szCs w:val="28"/>
          <w:rtl/>
        </w:rPr>
        <w:t xml:space="preserve"> </w:t>
      </w:r>
      <w:r w:rsidRPr="004E7618">
        <w:rPr>
          <w:rFonts w:hint="cs"/>
          <w:sz w:val="28"/>
          <w:szCs w:val="28"/>
          <w:rtl/>
        </w:rPr>
        <w:t>أحمد</w:t>
      </w:r>
      <w:r w:rsidRPr="004E7618">
        <w:rPr>
          <w:sz w:val="28"/>
          <w:szCs w:val="28"/>
          <w:rtl/>
        </w:rPr>
        <w:t xml:space="preserve"> </w:t>
      </w:r>
      <w:r w:rsidRPr="004E7618">
        <w:rPr>
          <w:rFonts w:hint="cs"/>
          <w:sz w:val="28"/>
          <w:szCs w:val="28"/>
          <w:rtl/>
        </w:rPr>
        <w:t>بن</w:t>
      </w:r>
      <w:r w:rsidRPr="004E7618">
        <w:rPr>
          <w:sz w:val="28"/>
          <w:szCs w:val="28"/>
          <w:rtl/>
        </w:rPr>
        <w:t xml:space="preserve"> </w:t>
      </w:r>
      <w:r w:rsidRPr="004E7618">
        <w:rPr>
          <w:rFonts w:hint="cs"/>
          <w:sz w:val="28"/>
          <w:szCs w:val="28"/>
          <w:rtl/>
        </w:rPr>
        <w:t>أيوب</w:t>
      </w:r>
      <w:r w:rsidRPr="004E7618">
        <w:rPr>
          <w:sz w:val="28"/>
          <w:szCs w:val="28"/>
          <w:rtl/>
        </w:rPr>
        <w:t xml:space="preserve"> </w:t>
      </w:r>
      <w:r w:rsidRPr="004E7618">
        <w:rPr>
          <w:rFonts w:hint="cs"/>
          <w:sz w:val="28"/>
          <w:szCs w:val="28"/>
          <w:rtl/>
        </w:rPr>
        <w:t>بن</w:t>
      </w:r>
      <w:r w:rsidRPr="004E7618">
        <w:rPr>
          <w:sz w:val="28"/>
          <w:szCs w:val="28"/>
          <w:rtl/>
        </w:rPr>
        <w:t xml:space="preserve"> </w:t>
      </w:r>
      <w:r w:rsidRPr="004E7618">
        <w:rPr>
          <w:rFonts w:hint="cs"/>
          <w:sz w:val="28"/>
          <w:szCs w:val="28"/>
          <w:rtl/>
        </w:rPr>
        <w:t>مطير</w:t>
      </w:r>
      <w:r w:rsidRPr="004E7618">
        <w:rPr>
          <w:sz w:val="28"/>
          <w:szCs w:val="28"/>
          <w:rtl/>
        </w:rPr>
        <w:t xml:space="preserve"> </w:t>
      </w:r>
      <w:r w:rsidRPr="004E7618">
        <w:rPr>
          <w:rFonts w:hint="cs"/>
          <w:sz w:val="28"/>
          <w:szCs w:val="28"/>
          <w:rtl/>
        </w:rPr>
        <w:t>اللخمي</w:t>
      </w:r>
      <w:r w:rsidRPr="004E7618">
        <w:rPr>
          <w:sz w:val="28"/>
          <w:szCs w:val="28"/>
          <w:rtl/>
        </w:rPr>
        <w:t xml:space="preserve"> </w:t>
      </w:r>
      <w:r w:rsidRPr="004E7618">
        <w:rPr>
          <w:rFonts w:hint="cs"/>
          <w:sz w:val="28"/>
          <w:szCs w:val="28"/>
          <w:rtl/>
        </w:rPr>
        <w:t>الشامي</w:t>
      </w:r>
      <w:r w:rsidRPr="004E7618">
        <w:rPr>
          <w:sz w:val="28"/>
          <w:szCs w:val="28"/>
          <w:rtl/>
        </w:rPr>
        <w:t xml:space="preserve"> في الأوسط بإسناد حسن</w:t>
      </w:r>
      <w:r w:rsidRPr="004E7618">
        <w:rPr>
          <w:rFonts w:hint="cs"/>
          <w:sz w:val="28"/>
          <w:szCs w:val="28"/>
          <w:rtl/>
        </w:rPr>
        <w:t>.</w:t>
      </w:r>
    </w:p>
  </w:footnote>
  <w:footnote w:id="3">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Arial" w:eastAsia="Times New Roman" w:hAnsi="Arial" w:hint="cs"/>
          <w:color w:val="494949"/>
          <w:sz w:val="28"/>
          <w:szCs w:val="28"/>
          <w:rtl/>
        </w:rPr>
        <w:t xml:space="preserve">ينظر: عبد الكريم زيدان، </w:t>
      </w:r>
      <w:r w:rsidRPr="004B43C8">
        <w:rPr>
          <w:rFonts w:ascii="Arial" w:eastAsia="Times New Roman" w:hAnsi="Arial" w:hint="cs"/>
          <w:color w:val="494949"/>
          <w:sz w:val="28"/>
          <w:szCs w:val="28"/>
          <w:rtl/>
        </w:rPr>
        <w:t>أحكام</w:t>
      </w:r>
      <w:r w:rsidRPr="004B43C8">
        <w:rPr>
          <w:rFonts w:ascii="Arial" w:eastAsia="Times New Roman" w:hAnsi="Arial"/>
          <w:color w:val="494949"/>
          <w:sz w:val="28"/>
          <w:szCs w:val="28"/>
          <w:rtl/>
        </w:rPr>
        <w:t xml:space="preserve"> </w:t>
      </w:r>
      <w:r w:rsidRPr="004B43C8">
        <w:rPr>
          <w:rFonts w:ascii="Arial" w:eastAsia="Times New Roman" w:hAnsi="Arial" w:hint="cs"/>
          <w:color w:val="494949"/>
          <w:sz w:val="28"/>
          <w:szCs w:val="28"/>
          <w:rtl/>
        </w:rPr>
        <w:t>الذميين</w:t>
      </w:r>
      <w:r w:rsidRPr="004B43C8">
        <w:rPr>
          <w:rFonts w:ascii="Arial" w:eastAsia="Times New Roman" w:hAnsi="Arial"/>
          <w:color w:val="494949"/>
          <w:sz w:val="28"/>
          <w:szCs w:val="28"/>
          <w:rtl/>
        </w:rPr>
        <w:t xml:space="preserve"> </w:t>
      </w:r>
      <w:r w:rsidRPr="004B43C8">
        <w:rPr>
          <w:rFonts w:ascii="Arial" w:eastAsia="Times New Roman" w:hAnsi="Arial" w:hint="cs"/>
          <w:color w:val="494949"/>
          <w:sz w:val="28"/>
          <w:szCs w:val="28"/>
          <w:rtl/>
        </w:rPr>
        <w:t>والمستأمنين،</w:t>
      </w:r>
      <w:r w:rsidRPr="004B43C8">
        <w:rPr>
          <w:rFonts w:ascii="Arial" w:eastAsia="Times New Roman" w:hAnsi="Arial"/>
          <w:color w:val="494949"/>
          <w:sz w:val="28"/>
          <w:szCs w:val="28"/>
          <w:rtl/>
        </w:rPr>
        <w:t xml:space="preserve"> </w:t>
      </w:r>
      <w:r w:rsidRPr="004B43C8">
        <w:rPr>
          <w:rFonts w:ascii="Arial" w:eastAsia="Times New Roman" w:hAnsi="Arial" w:hint="cs"/>
          <w:color w:val="494949"/>
          <w:sz w:val="28"/>
          <w:szCs w:val="28"/>
          <w:rtl/>
        </w:rPr>
        <w:t>ص</w:t>
      </w:r>
      <w:r w:rsidRPr="004B43C8">
        <w:rPr>
          <w:rFonts w:ascii="Arial" w:eastAsia="Times New Roman" w:hAnsi="Arial"/>
          <w:color w:val="494949"/>
          <w:sz w:val="28"/>
          <w:szCs w:val="28"/>
          <w:rtl/>
        </w:rPr>
        <w:t>22</w:t>
      </w:r>
      <w:r w:rsidRPr="001217E8">
        <w:rPr>
          <w:rFonts w:ascii="Arial" w:eastAsia="Times New Roman" w:hAnsi="Arial"/>
          <w:color w:val="494949"/>
          <w:sz w:val="28"/>
          <w:szCs w:val="28"/>
          <w:rtl/>
        </w:rPr>
        <w:t>.</w:t>
      </w:r>
      <w:r>
        <w:rPr>
          <w:rFonts w:hint="cs"/>
          <w:sz w:val="28"/>
          <w:szCs w:val="28"/>
          <w:rtl/>
        </w:rPr>
        <w:t xml:space="preserve"> </w:t>
      </w:r>
    </w:p>
  </w:footnote>
  <w:footnote w:id="4">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Arial" w:eastAsia="Times New Roman" w:hAnsi="Arial" w:hint="cs"/>
          <w:color w:val="494949"/>
          <w:sz w:val="28"/>
          <w:szCs w:val="28"/>
          <w:rtl/>
        </w:rPr>
        <w:t>ينظر: السرخسي</w:t>
      </w:r>
      <w:r>
        <w:rPr>
          <w:rFonts w:ascii="Garamond" w:hAnsi="Garamond" w:hint="cs"/>
          <w:color w:val="003300"/>
          <w:sz w:val="28"/>
          <w:szCs w:val="28"/>
          <w:rtl/>
          <w:lang w:bidi="ar-OM"/>
        </w:rPr>
        <w:t>، المبسوط، 10/78، ص81</w:t>
      </w:r>
      <w:r w:rsidRPr="001217E8">
        <w:rPr>
          <w:rFonts w:ascii="Arial" w:eastAsia="Times New Roman" w:hAnsi="Arial"/>
          <w:color w:val="494949"/>
          <w:sz w:val="28"/>
          <w:szCs w:val="28"/>
          <w:rtl/>
        </w:rPr>
        <w:t>.</w:t>
      </w:r>
      <w:r>
        <w:rPr>
          <w:rFonts w:hint="cs"/>
          <w:sz w:val="28"/>
          <w:szCs w:val="28"/>
          <w:rtl/>
        </w:rPr>
        <w:t xml:space="preserve"> </w:t>
      </w:r>
    </w:p>
  </w:footnote>
  <w:footnote w:id="5">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Garamond" w:hAnsi="Garamond" w:hint="cs"/>
          <w:color w:val="003300"/>
          <w:sz w:val="28"/>
          <w:szCs w:val="28"/>
          <w:rtl/>
          <w:lang w:bidi="ar-OM"/>
        </w:rPr>
        <w:t xml:space="preserve">الشيرازي، </w:t>
      </w:r>
      <w:r w:rsidRPr="004E7618">
        <w:rPr>
          <w:rStyle w:val="st"/>
          <w:sz w:val="28"/>
          <w:szCs w:val="28"/>
          <w:rtl/>
        </w:rPr>
        <w:t>أبو اسحاق إبراهيم بن علي بن يوسف</w:t>
      </w:r>
      <w:r w:rsidRPr="004E7618">
        <w:rPr>
          <w:rFonts w:ascii="Garamond" w:hAnsi="Garamond" w:hint="cs"/>
          <w:color w:val="003300"/>
          <w:sz w:val="28"/>
          <w:szCs w:val="28"/>
          <w:rtl/>
          <w:lang w:bidi="ar-OM"/>
        </w:rPr>
        <w:t xml:space="preserve"> </w:t>
      </w:r>
      <w:r>
        <w:rPr>
          <w:rFonts w:ascii="Garamond" w:hAnsi="Garamond" w:hint="cs"/>
          <w:color w:val="003300"/>
          <w:sz w:val="28"/>
          <w:szCs w:val="28"/>
          <w:rtl/>
          <w:lang w:bidi="ar-OM"/>
        </w:rPr>
        <w:t>، المهذب، 267/2</w:t>
      </w:r>
      <w:r>
        <w:rPr>
          <w:rFonts w:ascii="Garamond" w:hAnsi="Garamond" w:hint="cs"/>
          <w:color w:val="003300"/>
          <w:sz w:val="28"/>
          <w:szCs w:val="28"/>
          <w:lang w:bidi="ar-OM"/>
        </w:rPr>
        <w:t>.</w:t>
      </w:r>
    </w:p>
  </w:footnote>
  <w:footnote w:id="6">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sidRPr="004E7618">
        <w:rPr>
          <w:rFonts w:ascii="Traditional Arabic" w:hAnsi="Traditional Arabic" w:hint="cs"/>
          <w:sz w:val="28"/>
          <w:szCs w:val="28"/>
          <w:rtl/>
        </w:rPr>
        <w:t>الماوردي:</w:t>
      </w:r>
      <w:r w:rsidRPr="004E7618">
        <w:rPr>
          <w:rFonts w:hint="cs"/>
          <w:rtl/>
        </w:rPr>
        <w:t xml:space="preserve"> </w:t>
      </w:r>
      <w:r w:rsidRPr="004E7618">
        <w:rPr>
          <w:rFonts w:ascii="Traditional Arabic" w:hAnsi="Traditional Arabic" w:hint="cs"/>
          <w:sz w:val="28"/>
          <w:szCs w:val="28"/>
          <w:rtl/>
        </w:rPr>
        <w:t>أبو</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الحسن</w:t>
      </w:r>
      <w:r w:rsidRPr="004E7618">
        <w:rPr>
          <w:rFonts w:ascii="Traditional Arabic" w:hAnsi="Traditional Arabic"/>
          <w:sz w:val="28"/>
          <w:szCs w:val="28"/>
          <w:rtl/>
        </w:rPr>
        <w:t xml:space="preserve"> </w:t>
      </w:r>
      <w:r w:rsidRPr="004E7618">
        <w:rPr>
          <w:rFonts w:ascii="Traditional Arabic" w:hAnsi="Traditional Arabic" w:hint="cs"/>
          <w:sz w:val="28"/>
          <w:szCs w:val="28"/>
          <w:rtl/>
        </w:rPr>
        <w:t>علي</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حبيب</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البصري</w:t>
      </w:r>
      <w:r w:rsidRPr="004E7618">
        <w:rPr>
          <w:rFonts w:ascii="Traditional Arabic" w:hAnsi="Traditional Arabic"/>
          <w:sz w:val="28"/>
          <w:szCs w:val="28"/>
          <w:rtl/>
        </w:rPr>
        <w:t xml:space="preserve"> </w:t>
      </w:r>
      <w:r w:rsidRPr="004E7618">
        <w:rPr>
          <w:rFonts w:ascii="Traditional Arabic" w:hAnsi="Traditional Arabic" w:hint="cs"/>
          <w:sz w:val="28"/>
          <w:szCs w:val="28"/>
          <w:rtl/>
        </w:rPr>
        <w:t xml:space="preserve">البغدادي في </w:t>
      </w:r>
      <w:r w:rsidRPr="004E7618">
        <w:rPr>
          <w:rFonts w:ascii="Garamond" w:hAnsi="Garamond" w:hint="cs"/>
          <w:color w:val="003300"/>
          <w:sz w:val="28"/>
          <w:szCs w:val="28"/>
          <w:rtl/>
          <w:lang w:bidi="ar-OM"/>
        </w:rPr>
        <w:t>،</w:t>
      </w:r>
      <w:r>
        <w:rPr>
          <w:rFonts w:ascii="Garamond" w:hAnsi="Garamond" w:hint="cs"/>
          <w:color w:val="003300"/>
          <w:sz w:val="28"/>
          <w:szCs w:val="28"/>
          <w:rtl/>
          <w:lang w:bidi="ar-OM"/>
        </w:rPr>
        <w:t xml:space="preserve"> الأحكام السلطانية، ص33</w:t>
      </w:r>
      <w:r>
        <w:rPr>
          <w:rFonts w:ascii="Garamond" w:hAnsi="Garamond" w:hint="cs"/>
          <w:color w:val="003300"/>
          <w:sz w:val="28"/>
          <w:szCs w:val="28"/>
          <w:lang w:bidi="ar-OM"/>
        </w:rPr>
        <w:t>.</w:t>
      </w:r>
    </w:p>
  </w:footnote>
  <w:footnote w:id="7">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Garamond" w:hAnsi="Garamond" w:hint="cs"/>
          <w:color w:val="003300"/>
          <w:sz w:val="28"/>
          <w:szCs w:val="28"/>
          <w:rtl/>
          <w:lang w:bidi="ar-OM"/>
        </w:rPr>
        <w:t>ينظر:</w:t>
      </w:r>
      <w:r w:rsidRPr="0037534C">
        <w:rPr>
          <w:rFonts w:ascii="Garamond" w:hAnsi="Garamond" w:hint="cs"/>
          <w:color w:val="003300"/>
          <w:sz w:val="28"/>
          <w:szCs w:val="28"/>
          <w:rtl/>
          <w:lang w:bidi="ar-OM"/>
        </w:rPr>
        <w:t xml:space="preserve"> </w:t>
      </w:r>
      <w:r>
        <w:rPr>
          <w:rFonts w:ascii="Garamond" w:hAnsi="Garamond" w:hint="cs"/>
          <w:color w:val="003300"/>
          <w:sz w:val="28"/>
          <w:szCs w:val="28"/>
          <w:rtl/>
          <w:lang w:bidi="ar-OM"/>
        </w:rPr>
        <w:t>أحكام الذميين والمستأمنين، ص 77</w:t>
      </w:r>
      <w:r>
        <w:rPr>
          <w:rFonts w:ascii="Garamond" w:hAnsi="Garamond" w:hint="cs"/>
          <w:color w:val="003300"/>
          <w:sz w:val="28"/>
          <w:szCs w:val="28"/>
          <w:lang w:bidi="ar-OM"/>
        </w:rPr>
        <w:t>.</w:t>
      </w:r>
    </w:p>
  </w:footnote>
  <w:footnote w:id="8">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ascii="Garamond" w:hAnsi="Garamond" w:hint="cs"/>
          <w:color w:val="003300"/>
          <w:sz w:val="28"/>
          <w:szCs w:val="28"/>
          <w:rtl/>
          <w:lang w:bidi="ar-OM"/>
        </w:rPr>
        <w:t xml:space="preserve"> ينظر: محمد الرايس، النظريات السياسية الإسلامية، ص215</w:t>
      </w:r>
      <w:r>
        <w:rPr>
          <w:rFonts w:ascii="Garamond" w:hAnsi="Garamond" w:hint="cs"/>
          <w:color w:val="003300"/>
          <w:sz w:val="28"/>
          <w:szCs w:val="28"/>
          <w:lang w:bidi="ar-OM"/>
        </w:rPr>
        <w:t>.</w:t>
      </w:r>
    </w:p>
  </w:footnote>
  <w:footnote w:id="9">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ascii="Garamond" w:hAnsi="Garamond" w:hint="cs"/>
          <w:color w:val="003300"/>
          <w:sz w:val="28"/>
          <w:szCs w:val="28"/>
          <w:rtl/>
          <w:lang w:bidi="ar-OM"/>
        </w:rPr>
        <w:t xml:space="preserve"> ينظر أبو يعلى الفراء، الأحكام السلطانية، ص124. </w:t>
      </w:r>
      <w:r w:rsidRPr="004E7618">
        <w:rPr>
          <w:rFonts w:ascii="Traditional Arabic" w:hAnsi="Traditional Arabic" w:hint="cs"/>
          <w:sz w:val="28"/>
          <w:szCs w:val="28"/>
          <w:rtl/>
        </w:rPr>
        <w:t>الماوردي:</w:t>
      </w:r>
      <w:r w:rsidRPr="004E7618">
        <w:rPr>
          <w:rFonts w:hint="cs"/>
          <w:rtl/>
        </w:rPr>
        <w:t xml:space="preserve"> </w:t>
      </w:r>
      <w:r w:rsidRPr="004E7618">
        <w:rPr>
          <w:rFonts w:ascii="Traditional Arabic" w:hAnsi="Traditional Arabic" w:hint="cs"/>
          <w:sz w:val="28"/>
          <w:szCs w:val="28"/>
          <w:rtl/>
        </w:rPr>
        <w:t>أبو</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الحسن</w:t>
      </w:r>
      <w:r w:rsidRPr="004E7618">
        <w:rPr>
          <w:rFonts w:ascii="Traditional Arabic" w:hAnsi="Traditional Arabic"/>
          <w:sz w:val="28"/>
          <w:szCs w:val="28"/>
          <w:rtl/>
        </w:rPr>
        <w:t xml:space="preserve"> </w:t>
      </w:r>
      <w:r w:rsidRPr="004E7618">
        <w:rPr>
          <w:rFonts w:ascii="Traditional Arabic" w:hAnsi="Traditional Arabic" w:hint="cs"/>
          <w:sz w:val="28"/>
          <w:szCs w:val="28"/>
          <w:rtl/>
        </w:rPr>
        <w:t>علي</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محمد</w:t>
      </w:r>
      <w:r w:rsidRPr="004E7618">
        <w:rPr>
          <w:rFonts w:ascii="Traditional Arabic" w:hAnsi="Traditional Arabic"/>
          <w:sz w:val="28"/>
          <w:szCs w:val="28"/>
          <w:rtl/>
        </w:rPr>
        <w:t xml:space="preserve"> </w:t>
      </w:r>
      <w:r w:rsidRPr="004E7618">
        <w:rPr>
          <w:rFonts w:ascii="Traditional Arabic" w:hAnsi="Traditional Arabic" w:hint="cs"/>
          <w:sz w:val="28"/>
          <w:szCs w:val="28"/>
          <w:rtl/>
        </w:rPr>
        <w:t>بن</w:t>
      </w:r>
      <w:r w:rsidRPr="004E7618">
        <w:rPr>
          <w:rFonts w:ascii="Traditional Arabic" w:hAnsi="Traditional Arabic"/>
          <w:sz w:val="28"/>
          <w:szCs w:val="28"/>
          <w:rtl/>
        </w:rPr>
        <w:t xml:space="preserve"> </w:t>
      </w:r>
      <w:r w:rsidRPr="004E7618">
        <w:rPr>
          <w:rFonts w:ascii="Traditional Arabic" w:hAnsi="Traditional Arabic" w:hint="cs"/>
          <w:sz w:val="28"/>
          <w:szCs w:val="28"/>
          <w:rtl/>
        </w:rPr>
        <w:t>حبيب</w:t>
      </w:r>
      <w:r w:rsidRPr="004E7618">
        <w:rPr>
          <w:rFonts w:ascii="Traditional Arabic" w:hAnsi="Traditional Arabic"/>
          <w:sz w:val="28"/>
          <w:szCs w:val="28"/>
          <w:rtl/>
        </w:rPr>
        <w:t xml:space="preserve"> </w:t>
      </w:r>
      <w:r w:rsidRPr="004E7618">
        <w:rPr>
          <w:rFonts w:ascii="Traditional Arabic" w:hAnsi="Traditional Arabic" w:hint="cs"/>
          <w:sz w:val="28"/>
          <w:szCs w:val="28"/>
          <w:rtl/>
        </w:rPr>
        <w:t>البصري</w:t>
      </w:r>
      <w:r w:rsidRPr="004E7618">
        <w:rPr>
          <w:rFonts w:ascii="Traditional Arabic" w:hAnsi="Traditional Arabic"/>
          <w:sz w:val="28"/>
          <w:szCs w:val="28"/>
          <w:rtl/>
        </w:rPr>
        <w:t xml:space="preserve"> </w:t>
      </w:r>
      <w:r w:rsidRPr="004E7618">
        <w:rPr>
          <w:rFonts w:ascii="Traditional Arabic" w:hAnsi="Traditional Arabic" w:hint="cs"/>
          <w:sz w:val="28"/>
          <w:szCs w:val="28"/>
          <w:rtl/>
        </w:rPr>
        <w:t xml:space="preserve">البغدادي في </w:t>
      </w:r>
      <w:r w:rsidRPr="004E7618">
        <w:rPr>
          <w:rFonts w:ascii="Garamond" w:hAnsi="Garamond" w:hint="cs"/>
          <w:color w:val="003300"/>
          <w:sz w:val="28"/>
          <w:szCs w:val="28"/>
          <w:rtl/>
          <w:lang w:bidi="ar-OM"/>
        </w:rPr>
        <w:t>، الأحكام السلطانية، ص126</w:t>
      </w:r>
      <w:r w:rsidRPr="004E7618">
        <w:rPr>
          <w:rFonts w:ascii="Garamond" w:hAnsi="Garamond" w:hint="cs"/>
          <w:color w:val="003300"/>
          <w:sz w:val="28"/>
          <w:szCs w:val="28"/>
          <w:lang w:bidi="ar-OM"/>
        </w:rPr>
        <w:t>.</w:t>
      </w:r>
    </w:p>
  </w:footnote>
  <w:footnote w:id="10">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ascii="Garamond" w:hAnsi="Garamond" w:hint="cs"/>
          <w:color w:val="003300"/>
          <w:sz w:val="28"/>
          <w:szCs w:val="28"/>
          <w:rtl/>
          <w:lang w:bidi="ar-OM"/>
        </w:rPr>
        <w:t xml:space="preserve"> سورة المائدة: الآية: 87</w:t>
      </w:r>
      <w:r>
        <w:rPr>
          <w:rFonts w:ascii="Garamond" w:hAnsi="Garamond" w:hint="cs"/>
          <w:color w:val="003300"/>
          <w:sz w:val="28"/>
          <w:szCs w:val="28"/>
          <w:lang w:bidi="ar-OM"/>
        </w:rPr>
        <w:t>.</w:t>
      </w:r>
    </w:p>
  </w:footnote>
  <w:footnote w:id="11">
    <w:p w:rsidR="00B74232" w:rsidRPr="00832834" w:rsidRDefault="00B74232" w:rsidP="00B74232">
      <w:pPr>
        <w:shd w:val="clear" w:color="auto" w:fill="FFFFFF"/>
        <w:spacing w:after="0" w:line="240" w:lineRule="auto"/>
        <w:jc w:val="both"/>
        <w:rPr>
          <w:sz w:val="28"/>
          <w:szCs w:val="28"/>
          <w:lang w:bidi="ar-OM"/>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proofErr w:type="spellStart"/>
      <w:r w:rsidRPr="003E38F4">
        <w:rPr>
          <w:sz w:val="28"/>
          <w:szCs w:val="28"/>
          <w:rtl/>
        </w:rPr>
        <w:t>السجستاني</w:t>
      </w:r>
      <w:proofErr w:type="spellEnd"/>
      <w:r w:rsidRPr="003E38F4">
        <w:rPr>
          <w:rFonts w:hint="cs"/>
          <w:sz w:val="28"/>
          <w:szCs w:val="28"/>
          <w:rtl/>
        </w:rPr>
        <w:t xml:space="preserve">: </w:t>
      </w:r>
      <w:r w:rsidRPr="003E38F4">
        <w:rPr>
          <w:sz w:val="28"/>
          <w:szCs w:val="28"/>
          <w:rtl/>
        </w:rPr>
        <w:t xml:space="preserve">سليمان ابن الأشعث ابن إسحاق ابن بشير ابن شداد الأزدي </w:t>
      </w:r>
      <w:r w:rsidRPr="003E38F4">
        <w:rPr>
          <w:rFonts w:hint="cs"/>
          <w:sz w:val="28"/>
          <w:szCs w:val="28"/>
          <w:rtl/>
        </w:rPr>
        <w:t>في السنن، باب في تعشير أهل الذمة</w:t>
      </w:r>
      <w:r w:rsidRPr="003E38F4">
        <w:rPr>
          <w:rFonts w:ascii="Traditional Arabic" w:hAnsi="Traditional Arabic" w:hint="cs"/>
          <w:b/>
          <w:bCs/>
          <w:color w:val="000000"/>
          <w:sz w:val="44"/>
          <w:szCs w:val="44"/>
          <w:rtl/>
        </w:rPr>
        <w:t xml:space="preserve"> </w:t>
      </w:r>
      <w:r w:rsidRPr="003E38F4">
        <w:rPr>
          <w:rFonts w:ascii="Garamond" w:hAnsi="Garamond" w:hint="cs"/>
          <w:color w:val="003300"/>
          <w:sz w:val="28"/>
          <w:szCs w:val="28"/>
          <w:rtl/>
          <w:lang w:bidi="ar-OM"/>
        </w:rPr>
        <w:t xml:space="preserve">255/2 ، حديث رقم </w:t>
      </w:r>
      <w:r w:rsidRPr="003E38F4">
        <w:rPr>
          <w:sz w:val="28"/>
          <w:szCs w:val="28"/>
          <w:rtl/>
        </w:rPr>
        <w:t>3054</w:t>
      </w:r>
      <w:r w:rsidRPr="003E38F4">
        <w:rPr>
          <w:rFonts w:hint="cs"/>
          <w:sz w:val="28"/>
          <w:szCs w:val="28"/>
          <w:rtl/>
        </w:rPr>
        <w:t xml:space="preserve"> .</w:t>
      </w:r>
    </w:p>
    <w:p w:rsidR="00B74232" w:rsidRPr="003E38F4" w:rsidRDefault="00B74232" w:rsidP="00B74232">
      <w:pPr>
        <w:shd w:val="clear" w:color="auto" w:fill="FFFFFF"/>
        <w:spacing w:after="0" w:line="240" w:lineRule="auto"/>
        <w:jc w:val="both"/>
        <w:rPr>
          <w:sz w:val="28"/>
          <w:szCs w:val="28"/>
        </w:rPr>
      </w:pPr>
    </w:p>
  </w:footnote>
  <w:footnote w:id="12">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sidRPr="00566FA2">
        <w:rPr>
          <w:rFonts w:hint="cs"/>
          <w:sz w:val="28"/>
          <w:szCs w:val="28"/>
          <w:rtl/>
        </w:rPr>
        <w:t>البلاذري:</w:t>
      </w:r>
      <w:r w:rsidRPr="00566FA2">
        <w:rPr>
          <w:sz w:val="28"/>
          <w:szCs w:val="28"/>
          <w:rtl/>
        </w:rPr>
        <w:t xml:space="preserve"> أحمد بن يحيى بن جابر بن داود</w:t>
      </w:r>
      <w:r>
        <w:rPr>
          <w:rFonts w:ascii="Garamond" w:hAnsi="Garamond" w:hint="cs"/>
          <w:color w:val="003300"/>
          <w:sz w:val="28"/>
          <w:szCs w:val="28"/>
          <w:rtl/>
          <w:lang w:bidi="ar-OM"/>
        </w:rPr>
        <w:t xml:space="preserve"> ، فتوح البلدان، ص222، أبو عبيد، الأموال، ص170</w:t>
      </w:r>
      <w:r>
        <w:rPr>
          <w:rFonts w:ascii="Garamond" w:hAnsi="Garamond" w:hint="cs"/>
          <w:color w:val="003300"/>
          <w:sz w:val="28"/>
          <w:szCs w:val="28"/>
          <w:lang w:bidi="ar-OM"/>
        </w:rPr>
        <w:t>.</w:t>
      </w:r>
    </w:p>
  </w:footnote>
  <w:footnote w:id="13">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Garamond" w:hAnsi="Garamond" w:hint="cs"/>
          <w:color w:val="003300"/>
          <w:sz w:val="28"/>
          <w:szCs w:val="28"/>
          <w:rtl/>
          <w:lang w:bidi="ar-OM"/>
        </w:rPr>
        <w:t>سورة النور، الآيتين: 27 - 28</w:t>
      </w:r>
      <w:r>
        <w:rPr>
          <w:rFonts w:ascii="Garamond" w:hAnsi="Garamond" w:hint="cs"/>
          <w:color w:val="003300"/>
          <w:sz w:val="28"/>
          <w:szCs w:val="28"/>
          <w:lang w:bidi="ar-OM"/>
        </w:rPr>
        <w:t>.</w:t>
      </w:r>
    </w:p>
  </w:footnote>
  <w:footnote w:id="14">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Garamond" w:hAnsi="Garamond" w:hint="cs"/>
          <w:color w:val="003300"/>
          <w:sz w:val="28"/>
          <w:szCs w:val="28"/>
          <w:rtl/>
          <w:lang w:bidi="ar-OM"/>
        </w:rPr>
        <w:t xml:space="preserve"> </w:t>
      </w:r>
      <w:proofErr w:type="spellStart"/>
      <w:r>
        <w:rPr>
          <w:rFonts w:ascii="Garamond" w:hAnsi="Garamond" w:hint="cs"/>
          <w:color w:val="003300"/>
          <w:sz w:val="28"/>
          <w:szCs w:val="28"/>
          <w:rtl/>
          <w:lang w:bidi="ar-OM"/>
        </w:rPr>
        <w:t>أبويوسف</w:t>
      </w:r>
      <w:proofErr w:type="spellEnd"/>
      <w:r>
        <w:rPr>
          <w:rFonts w:ascii="Garamond" w:hAnsi="Garamond" w:hint="cs"/>
          <w:color w:val="003300"/>
          <w:sz w:val="28"/>
          <w:szCs w:val="28"/>
          <w:rtl/>
          <w:lang w:bidi="ar-OM"/>
        </w:rPr>
        <w:t>، يعقوب بن إبراهيم، الخراج، ص144</w:t>
      </w:r>
      <w:r>
        <w:rPr>
          <w:rFonts w:ascii="Garamond" w:hAnsi="Garamond" w:hint="cs"/>
          <w:color w:val="003300"/>
          <w:sz w:val="28"/>
          <w:szCs w:val="28"/>
          <w:lang w:bidi="ar-OM"/>
        </w:rPr>
        <w:t>.</w:t>
      </w:r>
    </w:p>
  </w:footnote>
  <w:footnote w:id="15">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Garamond" w:hAnsi="Garamond" w:hint="cs"/>
          <w:color w:val="003300"/>
          <w:sz w:val="28"/>
          <w:szCs w:val="28"/>
          <w:rtl/>
          <w:lang w:bidi="ar-OM"/>
        </w:rPr>
        <w:t xml:space="preserve"> أبو يوسف، </w:t>
      </w:r>
      <w:r>
        <w:rPr>
          <w:rFonts w:hint="cs"/>
          <w:sz w:val="28"/>
          <w:szCs w:val="28"/>
          <w:rtl/>
        </w:rPr>
        <w:t>يعقوب بن إبراهيم</w:t>
      </w:r>
      <w:r>
        <w:rPr>
          <w:rFonts w:ascii="Garamond" w:hAnsi="Garamond" w:hint="cs"/>
          <w:color w:val="003300"/>
          <w:sz w:val="28"/>
          <w:szCs w:val="28"/>
          <w:rtl/>
          <w:lang w:bidi="ar-OM"/>
        </w:rPr>
        <w:t>، الخراج، ص150 ، وكذلك ابن القيم، أحكام أهل الذمة، 38/1.</w:t>
      </w:r>
    </w:p>
  </w:footnote>
  <w:footnote w:id="16">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Garamond" w:hAnsi="Garamond" w:hint="cs"/>
          <w:color w:val="003300"/>
          <w:sz w:val="28"/>
          <w:szCs w:val="28"/>
          <w:rtl/>
          <w:lang w:bidi="ar-OM"/>
        </w:rPr>
        <w:t xml:space="preserve"> سورة المائدة: الآية: 42.</w:t>
      </w:r>
    </w:p>
  </w:footnote>
  <w:footnote w:id="17">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Garamond" w:hAnsi="Garamond" w:hint="cs"/>
          <w:color w:val="003300"/>
          <w:sz w:val="28"/>
          <w:szCs w:val="28"/>
          <w:rtl/>
          <w:lang w:bidi="ar-OM"/>
        </w:rPr>
        <w:t xml:space="preserve"> ينظر: ابن القيم الجوزية، </w:t>
      </w:r>
      <w:r w:rsidRPr="00330889">
        <w:rPr>
          <w:sz w:val="28"/>
          <w:szCs w:val="28"/>
          <w:rtl/>
        </w:rPr>
        <w:t>محمد بن أبي بكر بن أيوب بن سعد بن حريز بن مكي زيد الدين الزُّرعي</w:t>
      </w:r>
      <w:r w:rsidRPr="00330889">
        <w:rPr>
          <w:rFonts w:ascii="Garamond" w:hAnsi="Garamond" w:hint="cs"/>
          <w:color w:val="003300"/>
          <w:sz w:val="28"/>
          <w:szCs w:val="28"/>
          <w:rtl/>
          <w:lang w:bidi="ar-OM"/>
        </w:rPr>
        <w:t xml:space="preserve"> </w:t>
      </w:r>
      <w:r>
        <w:rPr>
          <w:rFonts w:ascii="Garamond" w:hAnsi="Garamond" w:hint="cs"/>
          <w:color w:val="003300"/>
          <w:sz w:val="28"/>
          <w:szCs w:val="28"/>
          <w:rtl/>
          <w:lang w:bidi="ar-OM"/>
        </w:rPr>
        <w:t>، أحكام أهل الذمة، 410/2</w:t>
      </w:r>
      <w:r>
        <w:rPr>
          <w:rFonts w:ascii="Garamond" w:hAnsi="Garamond" w:hint="cs"/>
          <w:color w:val="003300"/>
          <w:sz w:val="28"/>
          <w:szCs w:val="28"/>
          <w:lang w:bidi="ar-OM"/>
        </w:rPr>
        <w:t>.</w:t>
      </w:r>
    </w:p>
  </w:footnote>
  <w:footnote w:id="18">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Garamond" w:hAnsi="Garamond" w:hint="cs"/>
          <w:color w:val="003300"/>
          <w:sz w:val="28"/>
          <w:szCs w:val="28"/>
          <w:rtl/>
          <w:lang w:bidi="ar-OM"/>
        </w:rPr>
        <w:t xml:space="preserve"> </w:t>
      </w:r>
      <w:proofErr w:type="spellStart"/>
      <w:r w:rsidRPr="006E73E4">
        <w:rPr>
          <w:sz w:val="28"/>
          <w:szCs w:val="28"/>
          <w:rtl/>
        </w:rPr>
        <w:t>الكاساني</w:t>
      </w:r>
      <w:proofErr w:type="spellEnd"/>
      <w:r w:rsidRPr="006E73E4">
        <w:rPr>
          <w:sz w:val="28"/>
          <w:szCs w:val="28"/>
          <w:rtl/>
        </w:rPr>
        <w:t xml:space="preserve"> أبو بكر بن مسعود بن أحمد</w:t>
      </w:r>
      <w:r w:rsidRPr="006E73E4">
        <w:rPr>
          <w:rFonts w:hint="cs"/>
          <w:sz w:val="28"/>
          <w:szCs w:val="28"/>
          <w:rtl/>
        </w:rPr>
        <w:t xml:space="preserve">، </w:t>
      </w:r>
      <w:r>
        <w:rPr>
          <w:rFonts w:ascii="Garamond" w:hAnsi="Garamond" w:hint="cs"/>
          <w:color w:val="003300"/>
          <w:sz w:val="28"/>
          <w:szCs w:val="28"/>
          <w:rtl/>
          <w:lang w:bidi="ar-OM"/>
        </w:rPr>
        <w:t>ب</w:t>
      </w:r>
      <w:r w:rsidRPr="006E73E4">
        <w:rPr>
          <w:rFonts w:ascii="Garamond" w:hAnsi="Garamond" w:hint="cs"/>
          <w:color w:val="003300"/>
          <w:sz w:val="28"/>
          <w:szCs w:val="28"/>
          <w:rtl/>
          <w:lang w:bidi="ar-OM"/>
        </w:rPr>
        <w:t>دائع الصنائع، 37/2</w:t>
      </w:r>
      <w:r w:rsidRPr="006E73E4">
        <w:rPr>
          <w:rFonts w:ascii="Garamond" w:hAnsi="Garamond" w:hint="cs"/>
          <w:color w:val="003300"/>
          <w:sz w:val="28"/>
          <w:szCs w:val="28"/>
          <w:lang w:bidi="ar-OM"/>
        </w:rPr>
        <w:t>.</w:t>
      </w:r>
    </w:p>
  </w:footnote>
  <w:footnote w:id="19">
    <w:p w:rsidR="00B74232" w:rsidRPr="00832834" w:rsidRDefault="00B74232" w:rsidP="00B74232">
      <w:pPr>
        <w:shd w:val="clear" w:color="auto" w:fill="FFFFFF"/>
        <w:spacing w:after="0" w:line="240" w:lineRule="auto"/>
        <w:jc w:val="both"/>
        <w:rPr>
          <w:sz w:val="28"/>
          <w:szCs w:val="28"/>
        </w:rPr>
      </w:pPr>
      <w:r w:rsidRPr="00832834">
        <w:rPr>
          <w:sz w:val="28"/>
          <w:szCs w:val="28"/>
          <w:vertAlign w:val="superscript"/>
          <w:rtl/>
        </w:rPr>
        <w:t>(</w:t>
      </w:r>
      <w:r w:rsidRPr="00832834">
        <w:rPr>
          <w:rStyle w:val="a3"/>
          <w:sz w:val="28"/>
          <w:szCs w:val="28"/>
        </w:rPr>
        <w:footnoteRef/>
      </w:r>
      <w:r w:rsidRPr="00832834">
        <w:rPr>
          <w:rFonts w:hint="cs"/>
          <w:sz w:val="28"/>
          <w:szCs w:val="28"/>
          <w:vertAlign w:val="superscript"/>
          <w:rtl/>
        </w:rPr>
        <w:t>)</w:t>
      </w:r>
      <w:r>
        <w:rPr>
          <w:rFonts w:hint="cs"/>
          <w:sz w:val="28"/>
          <w:szCs w:val="28"/>
          <w:vertAlign w:val="superscript"/>
          <w:rtl/>
        </w:rPr>
        <w:t xml:space="preserve"> </w:t>
      </w:r>
      <w:r>
        <w:rPr>
          <w:rFonts w:ascii="Garamond" w:hAnsi="Garamond" w:hint="cs"/>
          <w:color w:val="003300"/>
          <w:sz w:val="28"/>
          <w:szCs w:val="28"/>
          <w:rtl/>
          <w:lang w:bidi="ar-OM"/>
        </w:rPr>
        <w:t xml:space="preserve"> ينظر: عبد الكريم زيدان، أحكام الذميين والمستأمنين، ص181</w:t>
      </w:r>
      <w:r>
        <w:rPr>
          <w:rFonts w:ascii="Garamond" w:hAnsi="Garamond" w:hint="cs"/>
          <w:color w:val="003300"/>
          <w:sz w:val="28"/>
          <w:szCs w:val="28"/>
          <w:lang w:bidi="ar-OM"/>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32"/>
    <w:rsid w:val="002747DA"/>
    <w:rsid w:val="007F650A"/>
    <w:rsid w:val="00B72831"/>
    <w:rsid w:val="00B74232"/>
    <w:rsid w:val="00EC6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32"/>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B74232"/>
    <w:rPr>
      <w:rFonts w:cs="Traditional Arabic"/>
      <w:sz w:val="36"/>
      <w:szCs w:val="36"/>
      <w:vertAlign w:val="superscript"/>
    </w:rPr>
  </w:style>
  <w:style w:type="character" w:customStyle="1" w:styleId="st">
    <w:name w:val="st"/>
    <w:rsid w:val="00B74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32"/>
    <w:pPr>
      <w:bidi/>
    </w:pPr>
    <w:rPr>
      <w:rFonts w:ascii="Calibri" w:eastAsia="Calibri" w:hAnsi="Calibri"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B74232"/>
    <w:rPr>
      <w:rFonts w:cs="Traditional Arabic"/>
      <w:sz w:val="36"/>
      <w:szCs w:val="36"/>
      <w:vertAlign w:val="superscript"/>
    </w:rPr>
  </w:style>
  <w:style w:type="character" w:customStyle="1" w:styleId="st">
    <w:name w:val="st"/>
    <w:rsid w:val="00B7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2</cp:revision>
  <dcterms:created xsi:type="dcterms:W3CDTF">2021-05-29T13:42:00Z</dcterms:created>
  <dcterms:modified xsi:type="dcterms:W3CDTF">2021-05-29T13:50:00Z</dcterms:modified>
</cp:coreProperties>
</file>